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1416743415"/>
        <w:docPartObj>
          <w:docPartGallery w:val="Cover Pages"/>
          <w:docPartUnique/>
        </w:docPartObj>
      </w:sdtPr>
      <w:sdtEndPr/>
      <w:sdtContent>
        <w:p w14:paraId="3029755A" w14:textId="77777777" w:rsidR="00311FA6" w:rsidRPr="009977FC" w:rsidRDefault="00311FA6" w:rsidP="0045136B">
          <w:pPr>
            <w:spacing w:line="23" w:lineRule="atLeast"/>
            <w:rPr>
              <w:rFonts w:asciiTheme="minorHAnsi" w:hAnsiTheme="minorHAnsi" w:cstheme="minorHAnsi"/>
            </w:rPr>
          </w:pPr>
        </w:p>
        <w:p w14:paraId="4187BA63" w14:textId="77777777" w:rsidR="00311FA6" w:rsidRPr="009977FC" w:rsidRDefault="00311FA6" w:rsidP="0045136B">
          <w:pPr>
            <w:tabs>
              <w:tab w:val="left" w:pos="4005"/>
            </w:tabs>
            <w:spacing w:line="23" w:lineRule="atLeast"/>
            <w:rPr>
              <w:rFonts w:asciiTheme="minorHAnsi" w:hAnsiTheme="minorHAnsi" w:cstheme="minorHAnsi"/>
            </w:rPr>
          </w:pPr>
        </w:p>
        <w:p w14:paraId="0F0646C1" w14:textId="77777777" w:rsidR="00311FA6" w:rsidRPr="009977FC" w:rsidRDefault="00311FA6" w:rsidP="0045136B">
          <w:pPr>
            <w:tabs>
              <w:tab w:val="left" w:pos="4005"/>
            </w:tabs>
            <w:spacing w:line="23" w:lineRule="atLeast"/>
            <w:rPr>
              <w:rFonts w:asciiTheme="minorHAnsi" w:hAnsiTheme="minorHAnsi" w:cstheme="minorHAnsi"/>
            </w:rPr>
          </w:pPr>
        </w:p>
        <w:p w14:paraId="4D2C9A66" w14:textId="77777777" w:rsidR="00311FA6" w:rsidRPr="009977FC" w:rsidRDefault="00353340" w:rsidP="0045136B">
          <w:pPr>
            <w:tabs>
              <w:tab w:val="left" w:pos="4005"/>
            </w:tabs>
            <w:spacing w:line="23" w:lineRule="atLeast"/>
            <w:rPr>
              <w:rFonts w:asciiTheme="minorHAnsi" w:hAnsiTheme="minorHAnsi" w:cstheme="minorHAnsi"/>
            </w:rPr>
          </w:pPr>
          <w:r>
            <w:rPr>
              <w:rFonts w:asciiTheme="minorHAnsi" w:hAnsiTheme="minorHAnsi"/>
              <w:noProof/>
            </w:rPr>
            <w:drawing>
              <wp:anchor distT="0" distB="0" distL="114300" distR="114300" simplePos="0" relativeHeight="251659264" behindDoc="0" locked="0" layoutInCell="1" allowOverlap="1" wp14:anchorId="06D5744F" wp14:editId="46961201">
                <wp:simplePos x="0" y="0"/>
                <wp:positionH relativeFrom="column">
                  <wp:posOffset>0</wp:posOffset>
                </wp:positionH>
                <wp:positionV relativeFrom="paragraph">
                  <wp:posOffset>172720</wp:posOffset>
                </wp:positionV>
                <wp:extent cx="3378200" cy="470535"/>
                <wp:effectExtent l="0" t="0" r="0" b="0"/>
                <wp:wrapSquare wrapText="bothSides"/>
                <wp:docPr id="13" name="Picture 1" descr="Canada Revenu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Canada Revenue Agency logo"/>
                        <pic:cNvPicPr>
                          <a:picLocks noChangeAspect="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34651" b="35652"/>
                        <a:stretch/>
                      </pic:blipFill>
                      <pic:spPr>
                        <a:xfrm>
                          <a:off x="0" y="0"/>
                          <a:ext cx="3378200" cy="470535"/>
                        </a:xfrm>
                        <a:prstGeom prst="rect">
                          <a:avLst/>
                        </a:prstGeom>
                      </pic:spPr>
                    </pic:pic>
                  </a:graphicData>
                </a:graphic>
                <wp14:sizeRelH relativeFrom="page">
                  <wp14:pctWidth>0</wp14:pctWidth>
                </wp14:sizeRelH>
                <wp14:sizeRelV relativeFrom="page">
                  <wp14:pctHeight>0</wp14:pctHeight>
                </wp14:sizeRelV>
              </wp:anchor>
            </w:drawing>
          </w:r>
        </w:p>
        <w:p w14:paraId="432C2215" w14:textId="77777777" w:rsidR="00311FA6" w:rsidRPr="009977FC" w:rsidRDefault="00311FA6" w:rsidP="0045136B">
          <w:pPr>
            <w:tabs>
              <w:tab w:val="left" w:pos="4005"/>
            </w:tabs>
            <w:spacing w:line="23" w:lineRule="atLeast"/>
            <w:rPr>
              <w:rFonts w:asciiTheme="minorHAnsi" w:hAnsiTheme="minorHAnsi" w:cstheme="minorHAnsi"/>
            </w:rPr>
          </w:pPr>
        </w:p>
        <w:p w14:paraId="0F24501B" w14:textId="77777777" w:rsidR="00311FA6" w:rsidRPr="009977FC" w:rsidRDefault="00311FA6" w:rsidP="0045136B">
          <w:pPr>
            <w:tabs>
              <w:tab w:val="left" w:pos="4005"/>
            </w:tabs>
            <w:spacing w:line="23" w:lineRule="atLeast"/>
            <w:rPr>
              <w:rFonts w:asciiTheme="minorHAnsi" w:hAnsiTheme="minorHAnsi" w:cstheme="minorHAnsi"/>
            </w:rPr>
          </w:pPr>
        </w:p>
        <w:p w14:paraId="7F21D26E" w14:textId="77777777" w:rsidR="00311FA6" w:rsidRPr="009977FC" w:rsidRDefault="00311FA6" w:rsidP="0045136B">
          <w:pPr>
            <w:tabs>
              <w:tab w:val="left" w:pos="4005"/>
            </w:tabs>
            <w:spacing w:line="23" w:lineRule="atLeast"/>
            <w:rPr>
              <w:rFonts w:asciiTheme="minorHAnsi" w:hAnsiTheme="minorHAnsi" w:cstheme="minorHAnsi"/>
            </w:rPr>
          </w:pPr>
        </w:p>
        <w:p w14:paraId="496D9199" w14:textId="77777777" w:rsidR="00311FA6" w:rsidRPr="009977FC" w:rsidRDefault="00370590" w:rsidP="0045136B">
          <w:pPr>
            <w:tabs>
              <w:tab w:val="left" w:pos="5820"/>
            </w:tabs>
            <w:spacing w:line="23" w:lineRule="atLeast"/>
            <w:rPr>
              <w:rFonts w:asciiTheme="minorHAnsi" w:hAnsiTheme="minorHAnsi" w:cstheme="minorHAnsi"/>
            </w:rPr>
          </w:pPr>
          <w:r>
            <w:rPr>
              <w:rFonts w:asciiTheme="minorHAnsi" w:hAnsiTheme="minorHAnsi"/>
            </w:rPr>
            <w:tab/>
          </w:r>
        </w:p>
        <w:p w14:paraId="0B77788C" w14:textId="77777777" w:rsidR="00311FA6" w:rsidRPr="009977FC" w:rsidRDefault="00311FA6" w:rsidP="0045136B">
          <w:pPr>
            <w:tabs>
              <w:tab w:val="left" w:pos="4005"/>
            </w:tabs>
            <w:spacing w:line="23" w:lineRule="atLeast"/>
            <w:rPr>
              <w:rFonts w:asciiTheme="minorHAnsi" w:hAnsiTheme="minorHAnsi" w:cstheme="minorHAnsi"/>
            </w:rPr>
          </w:pPr>
        </w:p>
        <w:p w14:paraId="01583DCC" w14:textId="77777777" w:rsidR="00311FA6" w:rsidRPr="009977FC" w:rsidRDefault="00311FA6" w:rsidP="0045136B">
          <w:pPr>
            <w:tabs>
              <w:tab w:val="left" w:pos="4005"/>
            </w:tabs>
            <w:spacing w:line="23" w:lineRule="atLeast"/>
            <w:rPr>
              <w:rFonts w:asciiTheme="minorHAnsi" w:hAnsiTheme="minorHAnsi" w:cstheme="minorHAnsi"/>
            </w:rPr>
          </w:pPr>
        </w:p>
        <w:p w14:paraId="314771A9" w14:textId="77777777" w:rsidR="00311FA6" w:rsidRPr="009977FC" w:rsidRDefault="00311FA6" w:rsidP="0045136B">
          <w:pPr>
            <w:tabs>
              <w:tab w:val="left" w:pos="4005"/>
            </w:tabs>
            <w:spacing w:line="23" w:lineRule="atLeast"/>
            <w:rPr>
              <w:rFonts w:asciiTheme="minorHAnsi" w:hAnsiTheme="minorHAnsi" w:cstheme="minorHAnsi"/>
            </w:rPr>
          </w:pPr>
        </w:p>
        <w:p w14:paraId="1CE01CDE" w14:textId="77777777" w:rsidR="00311FA6" w:rsidRPr="009977FC" w:rsidRDefault="00311FA6" w:rsidP="0045136B">
          <w:pPr>
            <w:tabs>
              <w:tab w:val="left" w:pos="4005"/>
            </w:tabs>
            <w:spacing w:line="23" w:lineRule="atLeast"/>
            <w:rPr>
              <w:rFonts w:asciiTheme="minorHAnsi" w:hAnsiTheme="minorHAnsi" w:cstheme="minorHAnsi"/>
            </w:rPr>
          </w:pPr>
        </w:p>
        <w:p w14:paraId="5C1DF04A" w14:textId="77777777" w:rsidR="0036295D" w:rsidRDefault="00607683" w:rsidP="0045136B">
          <w:pPr>
            <w:spacing w:line="23" w:lineRule="atLeast"/>
            <w:rPr>
              <w:rFonts w:asciiTheme="minorHAnsi" w:hAnsiTheme="minorHAnsi"/>
              <w:b/>
              <w:sz w:val="40"/>
              <w:szCs w:val="40"/>
            </w:rPr>
          </w:pPr>
          <w:r w:rsidRPr="006936B1">
            <w:rPr>
              <w:rFonts w:asciiTheme="minorHAnsi" w:hAnsiTheme="minorHAnsi"/>
              <w:b/>
              <w:sz w:val="40"/>
              <w:szCs w:val="40"/>
            </w:rPr>
            <w:t>La campagne publicitaire de l</w:t>
          </w:r>
          <w:r w:rsidR="00863EDF" w:rsidRPr="006936B1">
            <w:rPr>
              <w:rFonts w:asciiTheme="minorHAnsi" w:hAnsiTheme="minorHAnsi"/>
              <w:b/>
              <w:sz w:val="40"/>
              <w:szCs w:val="40"/>
            </w:rPr>
            <w:t>’</w:t>
          </w:r>
          <w:r w:rsidRPr="006936B1">
            <w:rPr>
              <w:rFonts w:asciiTheme="minorHAnsi" w:hAnsiTheme="minorHAnsi"/>
              <w:b/>
              <w:sz w:val="40"/>
              <w:szCs w:val="40"/>
            </w:rPr>
            <w:t>ARC de 2020-2021 – À bas l</w:t>
          </w:r>
          <w:r w:rsidR="00863EDF" w:rsidRPr="006936B1">
            <w:rPr>
              <w:rFonts w:asciiTheme="minorHAnsi" w:hAnsiTheme="minorHAnsi"/>
              <w:b/>
              <w:sz w:val="40"/>
              <w:szCs w:val="40"/>
            </w:rPr>
            <w:t>’</w:t>
          </w:r>
          <w:r w:rsidRPr="006936B1">
            <w:rPr>
              <w:rFonts w:asciiTheme="minorHAnsi" w:hAnsiTheme="minorHAnsi"/>
              <w:b/>
              <w:sz w:val="40"/>
              <w:szCs w:val="40"/>
            </w:rPr>
            <w:t xml:space="preserve">arnaque – </w:t>
          </w:r>
        </w:p>
        <w:p w14:paraId="687BD363" w14:textId="7BB4A4A9" w:rsidR="00311FA6" w:rsidRPr="006936B1" w:rsidRDefault="00607683" w:rsidP="0045136B">
          <w:pPr>
            <w:spacing w:line="23" w:lineRule="atLeast"/>
            <w:rPr>
              <w:rFonts w:asciiTheme="minorHAnsi" w:hAnsiTheme="minorHAnsi" w:cstheme="minorHAnsi"/>
              <w:b/>
              <w:sz w:val="40"/>
              <w:szCs w:val="40"/>
            </w:rPr>
          </w:pPr>
          <w:r w:rsidRPr="006936B1">
            <w:rPr>
              <w:rFonts w:asciiTheme="minorHAnsi" w:hAnsiTheme="minorHAnsi"/>
              <w:b/>
              <w:sz w:val="40"/>
              <w:szCs w:val="40"/>
            </w:rPr>
            <w:t xml:space="preserve">OECP </w:t>
          </w:r>
          <w:r w:rsidR="0036295D">
            <w:rPr>
              <w:rFonts w:asciiTheme="minorHAnsi" w:hAnsiTheme="minorHAnsi"/>
              <w:b/>
              <w:sz w:val="40"/>
              <w:szCs w:val="40"/>
            </w:rPr>
            <w:t>Sommaire exécutif</w:t>
          </w:r>
        </w:p>
        <w:p w14:paraId="26B0AA96" w14:textId="77777777" w:rsidR="00607683" w:rsidRPr="006936B1" w:rsidRDefault="00607683" w:rsidP="0045136B">
          <w:pPr>
            <w:spacing w:line="23" w:lineRule="atLeast"/>
            <w:rPr>
              <w:rFonts w:asciiTheme="minorHAnsi" w:hAnsiTheme="minorHAnsi" w:cstheme="minorHAnsi"/>
              <w:b/>
              <w:sz w:val="28"/>
              <w:szCs w:val="28"/>
            </w:rPr>
          </w:pPr>
        </w:p>
        <w:p w14:paraId="716961AA" w14:textId="77777777" w:rsidR="00311FA6" w:rsidRPr="006936B1" w:rsidRDefault="00311FA6" w:rsidP="0045136B">
          <w:pPr>
            <w:spacing w:line="23" w:lineRule="atLeast"/>
            <w:rPr>
              <w:rFonts w:asciiTheme="minorHAnsi" w:hAnsiTheme="minorHAnsi" w:cstheme="minorHAnsi"/>
              <w:b/>
              <w:sz w:val="28"/>
              <w:szCs w:val="28"/>
            </w:rPr>
          </w:pPr>
        </w:p>
        <w:p w14:paraId="6633C4D6" w14:textId="327487C0" w:rsidR="00311FA6" w:rsidRPr="006936B1" w:rsidRDefault="00311FA6" w:rsidP="00311FA6">
          <w:pPr>
            <w:spacing w:line="23" w:lineRule="atLeast"/>
            <w:rPr>
              <w:rFonts w:asciiTheme="minorHAnsi" w:hAnsiTheme="minorHAnsi" w:cstheme="minorHAnsi"/>
              <w:b/>
              <w:sz w:val="28"/>
              <w:szCs w:val="28"/>
            </w:rPr>
          </w:pPr>
          <w:r w:rsidRPr="006936B1">
            <w:rPr>
              <w:rFonts w:asciiTheme="minorHAnsi" w:hAnsiTheme="minorHAnsi"/>
              <w:b/>
              <w:sz w:val="28"/>
              <w:szCs w:val="28"/>
            </w:rPr>
            <w:t>Préparé pour l</w:t>
          </w:r>
          <w:r w:rsidR="00863EDF" w:rsidRPr="006936B1">
            <w:rPr>
              <w:rFonts w:asciiTheme="minorHAnsi" w:hAnsiTheme="minorHAnsi"/>
              <w:b/>
              <w:sz w:val="28"/>
              <w:szCs w:val="28"/>
            </w:rPr>
            <w:t>’</w:t>
          </w:r>
          <w:r w:rsidRPr="006936B1">
            <w:rPr>
              <w:rFonts w:asciiTheme="minorHAnsi" w:hAnsiTheme="minorHAnsi"/>
              <w:b/>
              <w:sz w:val="28"/>
              <w:szCs w:val="28"/>
            </w:rPr>
            <w:t>Agence du revenu du Canada</w:t>
          </w:r>
        </w:p>
        <w:p w14:paraId="6B132AF8" w14:textId="77777777" w:rsidR="00311FA6" w:rsidRPr="006936B1" w:rsidRDefault="00311FA6" w:rsidP="0045136B">
          <w:pPr>
            <w:spacing w:line="23" w:lineRule="atLeast"/>
            <w:rPr>
              <w:rFonts w:asciiTheme="minorHAnsi" w:hAnsiTheme="minorHAnsi" w:cstheme="minorHAnsi"/>
              <w:b/>
              <w:sz w:val="20"/>
              <w:szCs w:val="20"/>
            </w:rPr>
          </w:pPr>
        </w:p>
        <w:p w14:paraId="59645524" w14:textId="77777777" w:rsidR="00311FA6" w:rsidRPr="006936B1" w:rsidRDefault="00311FA6" w:rsidP="0045136B">
          <w:pPr>
            <w:spacing w:line="23" w:lineRule="atLeast"/>
            <w:rPr>
              <w:rFonts w:asciiTheme="minorHAnsi" w:hAnsiTheme="minorHAnsi" w:cstheme="minorHAnsi"/>
              <w:b/>
              <w:sz w:val="20"/>
              <w:szCs w:val="20"/>
            </w:rPr>
          </w:pPr>
        </w:p>
        <w:p w14:paraId="79233964" w14:textId="77777777" w:rsidR="00311FA6" w:rsidRPr="006936B1" w:rsidRDefault="00311FA6" w:rsidP="0045136B">
          <w:pPr>
            <w:spacing w:line="23" w:lineRule="atLeast"/>
            <w:rPr>
              <w:rFonts w:asciiTheme="minorHAnsi" w:hAnsiTheme="minorHAnsi" w:cstheme="minorHAnsi"/>
              <w:b/>
              <w:sz w:val="20"/>
              <w:szCs w:val="20"/>
            </w:rPr>
          </w:pPr>
        </w:p>
        <w:p w14:paraId="575DA012" w14:textId="77777777" w:rsidR="00311FA6" w:rsidRPr="006936B1" w:rsidRDefault="00311FA6" w:rsidP="0045136B">
          <w:pPr>
            <w:spacing w:line="23" w:lineRule="atLeast"/>
            <w:ind w:left="1985"/>
            <w:rPr>
              <w:rFonts w:asciiTheme="minorHAnsi" w:hAnsiTheme="minorHAnsi" w:cstheme="minorHAnsi"/>
              <w:b/>
              <w:sz w:val="20"/>
              <w:szCs w:val="20"/>
            </w:rPr>
          </w:pPr>
        </w:p>
        <w:p w14:paraId="58DDB7DF" w14:textId="77777777" w:rsidR="00311FA6" w:rsidRPr="006936B1" w:rsidRDefault="0045136B" w:rsidP="0045136B">
          <w:pPr>
            <w:spacing w:line="23" w:lineRule="atLeast"/>
            <w:rPr>
              <w:rFonts w:asciiTheme="minorHAnsi" w:hAnsiTheme="minorHAnsi" w:cstheme="minorHAnsi"/>
              <w:b/>
              <w:sz w:val="28"/>
              <w:szCs w:val="28"/>
            </w:rPr>
          </w:pPr>
          <w:r w:rsidRPr="006936B1">
            <w:rPr>
              <w:rFonts w:asciiTheme="minorHAnsi" w:hAnsiTheme="minorHAnsi"/>
              <w:b/>
              <w:sz w:val="28"/>
              <w:szCs w:val="28"/>
            </w:rPr>
            <w:t>Soumis par Narrative Research</w:t>
          </w:r>
        </w:p>
        <w:p w14:paraId="50151E7F" w14:textId="77777777" w:rsidR="00607683" w:rsidRPr="006936B1" w:rsidRDefault="00607683" w:rsidP="00607683">
          <w:pPr>
            <w:spacing w:line="23" w:lineRule="atLeast"/>
            <w:rPr>
              <w:rFonts w:asciiTheme="minorHAnsi" w:hAnsiTheme="minorHAnsi" w:cstheme="minorHAnsi"/>
              <w:b/>
              <w:sz w:val="28"/>
              <w:szCs w:val="28"/>
            </w:rPr>
          </w:pPr>
          <w:r w:rsidRPr="006936B1">
            <w:rPr>
              <w:rFonts w:asciiTheme="minorHAnsi" w:hAnsiTheme="minorHAnsi"/>
              <w:b/>
              <w:sz w:val="28"/>
              <w:szCs w:val="28"/>
            </w:rPr>
            <w:t>Numéro du contrat de SPAC : 46558-227949/001/CY</w:t>
          </w:r>
        </w:p>
        <w:p w14:paraId="7AC98059" w14:textId="5BD57C8E" w:rsidR="00311FA6" w:rsidRPr="006936B1" w:rsidRDefault="00607683" w:rsidP="0045136B">
          <w:pPr>
            <w:spacing w:line="23" w:lineRule="atLeast"/>
            <w:rPr>
              <w:rFonts w:asciiTheme="minorHAnsi" w:hAnsiTheme="minorHAnsi" w:cstheme="minorHAnsi"/>
              <w:b/>
              <w:sz w:val="28"/>
              <w:szCs w:val="28"/>
            </w:rPr>
          </w:pPr>
          <w:r w:rsidRPr="006936B1">
            <w:rPr>
              <w:rFonts w:asciiTheme="minorHAnsi" w:hAnsiTheme="minorHAnsi"/>
              <w:b/>
              <w:sz w:val="28"/>
              <w:szCs w:val="28"/>
            </w:rPr>
            <w:t>Valeur du contrat : 23 272,35 $</w:t>
          </w:r>
        </w:p>
        <w:p w14:paraId="079C5DFD" w14:textId="00EEE39B" w:rsidR="00311FA6" w:rsidRPr="006936B1" w:rsidRDefault="00607683" w:rsidP="00311FA6">
          <w:pPr>
            <w:spacing w:line="23" w:lineRule="atLeast"/>
            <w:rPr>
              <w:rFonts w:asciiTheme="minorHAnsi" w:hAnsiTheme="minorHAnsi" w:cstheme="minorHAnsi"/>
              <w:b/>
              <w:sz w:val="28"/>
              <w:szCs w:val="28"/>
            </w:rPr>
          </w:pPr>
          <w:r w:rsidRPr="006936B1">
            <w:rPr>
              <w:rFonts w:asciiTheme="minorHAnsi" w:hAnsiTheme="minorHAnsi"/>
              <w:b/>
              <w:sz w:val="28"/>
              <w:szCs w:val="28"/>
            </w:rPr>
            <w:t>Date d</w:t>
          </w:r>
          <w:r w:rsidR="00863EDF" w:rsidRPr="006936B1">
            <w:rPr>
              <w:rFonts w:asciiTheme="minorHAnsi" w:hAnsiTheme="minorHAnsi"/>
              <w:b/>
              <w:sz w:val="28"/>
              <w:szCs w:val="28"/>
            </w:rPr>
            <w:t>’</w:t>
          </w:r>
          <w:r w:rsidRPr="006936B1">
            <w:rPr>
              <w:rFonts w:asciiTheme="minorHAnsi" w:hAnsiTheme="minorHAnsi"/>
              <w:b/>
              <w:sz w:val="28"/>
              <w:szCs w:val="28"/>
            </w:rPr>
            <w:t>octroi du contrat : Le 17 janvier 2022</w:t>
          </w:r>
        </w:p>
        <w:p w14:paraId="4A973407" w14:textId="6C8EFF6C" w:rsidR="00311FA6" w:rsidRPr="006936B1" w:rsidRDefault="00311FA6" w:rsidP="00607683">
          <w:pPr>
            <w:spacing w:line="23" w:lineRule="atLeast"/>
            <w:rPr>
              <w:rFonts w:asciiTheme="minorHAnsi" w:hAnsiTheme="minorHAnsi" w:cstheme="minorHAnsi"/>
              <w:b/>
              <w:sz w:val="28"/>
              <w:szCs w:val="28"/>
            </w:rPr>
          </w:pPr>
          <w:r w:rsidRPr="006936B1">
            <w:rPr>
              <w:rFonts w:asciiTheme="minorHAnsi" w:hAnsiTheme="minorHAnsi"/>
              <w:b/>
              <w:sz w:val="28"/>
              <w:szCs w:val="28"/>
            </w:rPr>
            <w:t>Date de livraison : Le 31 mars 2022</w:t>
          </w:r>
        </w:p>
        <w:p w14:paraId="25B3D34D" w14:textId="77777777" w:rsidR="00311FA6" w:rsidRPr="006936B1" w:rsidRDefault="00311FA6" w:rsidP="0045136B">
          <w:pPr>
            <w:spacing w:line="23" w:lineRule="atLeast"/>
            <w:rPr>
              <w:rFonts w:asciiTheme="minorHAnsi" w:hAnsiTheme="minorHAnsi" w:cstheme="minorHAnsi"/>
              <w:b/>
              <w:sz w:val="28"/>
              <w:szCs w:val="28"/>
            </w:rPr>
          </w:pPr>
        </w:p>
        <w:p w14:paraId="584206CF" w14:textId="43117EBE" w:rsidR="00311FA6" w:rsidRPr="006936B1" w:rsidRDefault="0045136B" w:rsidP="0045136B">
          <w:pPr>
            <w:spacing w:line="23" w:lineRule="atLeast"/>
            <w:rPr>
              <w:rFonts w:asciiTheme="minorHAnsi" w:hAnsiTheme="minorHAnsi" w:cstheme="minorHAnsi"/>
              <w:b/>
              <w:sz w:val="28"/>
              <w:szCs w:val="28"/>
            </w:rPr>
          </w:pPr>
          <w:r w:rsidRPr="006936B1">
            <w:rPr>
              <w:rFonts w:asciiTheme="minorHAnsi" w:hAnsiTheme="minorHAnsi"/>
              <w:b/>
              <w:sz w:val="28"/>
              <w:szCs w:val="28"/>
            </w:rPr>
            <w:t>Numéro d</w:t>
          </w:r>
          <w:r w:rsidR="00863EDF" w:rsidRPr="006936B1">
            <w:rPr>
              <w:rFonts w:asciiTheme="minorHAnsi" w:hAnsiTheme="minorHAnsi"/>
              <w:b/>
              <w:sz w:val="28"/>
              <w:szCs w:val="28"/>
            </w:rPr>
            <w:t>’</w:t>
          </w:r>
          <w:r w:rsidRPr="006936B1">
            <w:rPr>
              <w:rFonts w:asciiTheme="minorHAnsi" w:hAnsiTheme="minorHAnsi"/>
              <w:b/>
              <w:sz w:val="28"/>
              <w:szCs w:val="28"/>
            </w:rPr>
            <w:t>inscription : POR 099-21</w:t>
          </w:r>
        </w:p>
        <w:p w14:paraId="008E139F" w14:textId="321B7111" w:rsidR="00311FA6" w:rsidRPr="009977FC" w:rsidRDefault="0045136B" w:rsidP="0045136B">
          <w:pPr>
            <w:spacing w:line="23" w:lineRule="atLeast"/>
            <w:rPr>
              <w:rFonts w:asciiTheme="minorHAnsi" w:eastAsia="Calibri" w:hAnsiTheme="minorHAnsi" w:cstheme="minorHAnsi"/>
              <w:color w:val="000000"/>
              <w:sz w:val="28"/>
            </w:rPr>
          </w:pPr>
          <w:r w:rsidRPr="006936B1">
            <w:rPr>
              <w:rFonts w:asciiTheme="minorHAnsi" w:hAnsiTheme="minorHAnsi"/>
              <w:b/>
              <w:bCs/>
              <w:sz w:val="28"/>
            </w:rPr>
            <w:t>Pour obtenir de plus amples renseignements, veuillez envoyer un courriel à l</w:t>
          </w:r>
          <w:r w:rsidR="00863EDF" w:rsidRPr="006936B1">
            <w:rPr>
              <w:rFonts w:asciiTheme="minorHAnsi" w:hAnsiTheme="minorHAnsi"/>
              <w:b/>
              <w:bCs/>
              <w:sz w:val="28"/>
            </w:rPr>
            <w:t>’</w:t>
          </w:r>
          <w:r w:rsidRPr="006936B1">
            <w:rPr>
              <w:rFonts w:asciiTheme="minorHAnsi" w:hAnsiTheme="minorHAnsi"/>
              <w:b/>
              <w:bCs/>
              <w:sz w:val="28"/>
            </w:rPr>
            <w:t>adresse suivante </w:t>
          </w:r>
          <w:r>
            <w:rPr>
              <w:rFonts w:asciiTheme="minorHAnsi" w:hAnsiTheme="minorHAnsi"/>
              <w:b/>
              <w:bCs/>
              <w:color w:val="000000"/>
              <w:sz w:val="28"/>
            </w:rPr>
            <w:t>:</w:t>
          </w:r>
          <w:r>
            <w:t xml:space="preserve"> </w:t>
          </w:r>
          <w:hyperlink r:id="rId9" w:history="1">
            <w:r>
              <w:rPr>
                <w:rStyle w:val="Hyperlink"/>
                <w:rFonts w:asciiTheme="minorHAnsi" w:hAnsiTheme="minorHAnsi"/>
                <w:b/>
                <w:sz w:val="28"/>
              </w:rPr>
              <w:t>cra-arc.media@cra-arc.gc.ca</w:t>
            </w:r>
          </w:hyperlink>
          <w:r>
            <w:rPr>
              <w:rFonts w:asciiTheme="minorHAnsi" w:hAnsiTheme="minorHAnsi"/>
              <w:b/>
              <w:color w:val="000000"/>
              <w:sz w:val="28"/>
            </w:rPr>
            <w:t xml:space="preserve"> </w:t>
          </w:r>
        </w:p>
        <w:p w14:paraId="659363BF" w14:textId="77777777" w:rsidR="00311FA6" w:rsidRPr="009977FC" w:rsidRDefault="00311FA6" w:rsidP="0045136B">
          <w:pPr>
            <w:spacing w:after="160" w:line="23" w:lineRule="atLeast"/>
            <w:rPr>
              <w:rFonts w:asciiTheme="minorHAnsi" w:eastAsia="Calibri" w:hAnsiTheme="minorHAnsi" w:cstheme="minorHAnsi"/>
              <w:color w:val="000000"/>
              <w:sz w:val="28"/>
            </w:rPr>
          </w:pPr>
        </w:p>
        <w:p w14:paraId="10FA468B" w14:textId="432CC5B8" w:rsidR="00311FA6" w:rsidRPr="006936B1" w:rsidRDefault="00311FA6" w:rsidP="00311FA6">
          <w:pPr>
            <w:spacing w:after="600" w:line="23" w:lineRule="atLeast"/>
            <w:rPr>
              <w:rFonts w:asciiTheme="minorHAnsi" w:eastAsia="Calibri" w:hAnsiTheme="minorHAnsi" w:cstheme="minorHAnsi"/>
              <w:b/>
              <w:bCs/>
              <w:sz w:val="28"/>
              <w:lang w:val="en-US"/>
            </w:rPr>
          </w:pPr>
          <w:r w:rsidRPr="006936B1">
            <w:rPr>
              <w:rFonts w:asciiTheme="minorHAnsi" w:hAnsiTheme="minorHAnsi"/>
              <w:b/>
              <w:bCs/>
              <w:sz w:val="28"/>
              <w:lang w:val="en-US"/>
            </w:rPr>
            <w:t>This report is also available in English.</w:t>
          </w:r>
        </w:p>
        <w:p w14:paraId="454B5B1C" w14:textId="1CA0380C" w:rsidR="00311FA6" w:rsidRPr="00863EDF" w:rsidRDefault="001B19DB" w:rsidP="0045136B">
          <w:pPr>
            <w:spacing w:line="23" w:lineRule="atLeast"/>
            <w:rPr>
              <w:rFonts w:asciiTheme="minorHAnsi" w:hAnsiTheme="minorHAnsi" w:cstheme="minorHAnsi"/>
              <w:lang w:val="en-US"/>
            </w:rPr>
          </w:pPr>
          <w:r w:rsidRPr="009054DB">
            <w:rPr>
              <w:rFonts w:asciiTheme="minorHAnsi" w:hAnsiTheme="minorHAnsi" w:cstheme="minorHAnsi"/>
              <w:noProof/>
              <w:color w:val="003366"/>
              <w:lang w:val="en-CA" w:eastAsia="en-CA"/>
            </w:rPr>
            <w:drawing>
              <wp:anchor distT="0" distB="0" distL="114300" distR="114300" simplePos="0" relativeHeight="251661312" behindDoc="0" locked="0" layoutInCell="1" allowOverlap="1" wp14:anchorId="06E0EFB1" wp14:editId="6C5A7874">
                <wp:simplePos x="0" y="0"/>
                <wp:positionH relativeFrom="margin">
                  <wp:posOffset>4600575</wp:posOffset>
                </wp:positionH>
                <wp:positionV relativeFrom="paragraph">
                  <wp:posOffset>110490</wp:posOffset>
                </wp:positionV>
                <wp:extent cx="1965325" cy="467995"/>
                <wp:effectExtent l="0" t="0" r="0" b="8255"/>
                <wp:wrapNone/>
                <wp:docPr id="1" name="Picture 1"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36B">
            <w:rPr>
              <w:rFonts w:asciiTheme="minorHAnsi" w:hAnsiTheme="minorHAnsi"/>
              <w:noProof/>
              <w:color w:val="003366"/>
            </w:rPr>
            <w:drawing>
              <wp:anchor distT="0" distB="0" distL="114300" distR="114300" simplePos="0" relativeHeight="251656192" behindDoc="0" locked="0" layoutInCell="1" allowOverlap="1" wp14:anchorId="16BAA746" wp14:editId="3DDA11BE">
                <wp:simplePos x="0" y="0"/>
                <wp:positionH relativeFrom="margin">
                  <wp:posOffset>4457700</wp:posOffset>
                </wp:positionH>
                <wp:positionV relativeFrom="paragraph">
                  <wp:posOffset>1135380</wp:posOffset>
                </wp:positionV>
                <wp:extent cx="1965325" cy="467995"/>
                <wp:effectExtent l="0" t="0" r="0" b="8255"/>
                <wp:wrapNone/>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36B" w:rsidRPr="00863EDF">
            <w:rPr>
              <w:lang w:val="en-US"/>
            </w:rPr>
            <w:br w:type="page"/>
          </w:r>
        </w:p>
        <w:p w14:paraId="76F32799" w14:textId="77777777" w:rsidR="00311FA6" w:rsidRPr="00863EDF" w:rsidRDefault="00311FA6" w:rsidP="0045136B">
          <w:pPr>
            <w:tabs>
              <w:tab w:val="left" w:pos="4005"/>
            </w:tabs>
            <w:spacing w:line="23" w:lineRule="atLeast"/>
            <w:rPr>
              <w:rFonts w:asciiTheme="minorHAnsi" w:hAnsiTheme="minorHAnsi" w:cstheme="minorHAnsi"/>
              <w:lang w:val="en-US"/>
            </w:rPr>
          </w:pPr>
        </w:p>
        <w:p w14:paraId="2D00B379" w14:textId="77777777" w:rsidR="00311FA6" w:rsidRPr="009977FC" w:rsidRDefault="001B19DB" w:rsidP="0045136B">
          <w:pPr>
            <w:tabs>
              <w:tab w:val="left" w:pos="4005"/>
            </w:tabs>
            <w:spacing w:line="23" w:lineRule="atLeast"/>
            <w:rPr>
              <w:rFonts w:asciiTheme="minorHAnsi" w:hAnsiTheme="minorHAnsi" w:cstheme="minorHAnsi"/>
            </w:rPr>
          </w:pPr>
        </w:p>
      </w:sdtContent>
    </w:sdt>
    <w:p w14:paraId="0C52E448" w14:textId="3330C541" w:rsidR="00147A57" w:rsidRDefault="00640444" w:rsidP="0045136B">
      <w:pPr>
        <w:spacing w:line="23" w:lineRule="atLeast"/>
        <w:ind w:right="1183"/>
        <w:rPr>
          <w:rFonts w:asciiTheme="minorHAnsi" w:hAnsiTheme="minorHAnsi"/>
          <w:b/>
          <w:color w:val="404040" w:themeColor="text1" w:themeTint="BF"/>
          <w:sz w:val="32"/>
          <w:szCs w:val="32"/>
        </w:rPr>
      </w:pPr>
      <w:r>
        <w:rPr>
          <w:rFonts w:asciiTheme="minorHAnsi" w:hAnsiTheme="minorHAnsi"/>
          <w:b/>
          <w:color w:val="404040" w:themeColor="text1" w:themeTint="BF"/>
          <w:sz w:val="32"/>
          <w:szCs w:val="32"/>
        </w:rPr>
        <w:t>Campagne publicitaire de l</w:t>
      </w:r>
      <w:r w:rsidR="00863EDF">
        <w:rPr>
          <w:rFonts w:asciiTheme="minorHAnsi" w:hAnsiTheme="minorHAnsi"/>
          <w:b/>
          <w:color w:val="404040" w:themeColor="text1" w:themeTint="BF"/>
          <w:sz w:val="32"/>
          <w:szCs w:val="32"/>
        </w:rPr>
        <w:t>’</w:t>
      </w:r>
      <w:r>
        <w:rPr>
          <w:rFonts w:asciiTheme="minorHAnsi" w:hAnsiTheme="minorHAnsi"/>
          <w:b/>
          <w:color w:val="404040" w:themeColor="text1" w:themeTint="BF"/>
          <w:sz w:val="32"/>
          <w:szCs w:val="32"/>
        </w:rPr>
        <w:t>Agence de 2021-2022 – À bas l</w:t>
      </w:r>
      <w:r w:rsidR="00863EDF">
        <w:rPr>
          <w:rFonts w:asciiTheme="minorHAnsi" w:hAnsiTheme="minorHAnsi"/>
          <w:b/>
          <w:color w:val="404040" w:themeColor="text1" w:themeTint="BF"/>
          <w:sz w:val="32"/>
          <w:szCs w:val="32"/>
        </w:rPr>
        <w:t>’</w:t>
      </w:r>
      <w:r>
        <w:rPr>
          <w:rFonts w:asciiTheme="minorHAnsi" w:hAnsiTheme="minorHAnsi"/>
          <w:b/>
          <w:color w:val="404040" w:themeColor="text1" w:themeTint="BF"/>
          <w:sz w:val="32"/>
          <w:szCs w:val="32"/>
        </w:rPr>
        <w:t>arnaque </w:t>
      </w:r>
      <w:r w:rsidR="0036295D">
        <w:rPr>
          <w:rFonts w:asciiTheme="minorHAnsi" w:hAnsiTheme="minorHAnsi"/>
          <w:b/>
          <w:color w:val="404040" w:themeColor="text1" w:themeTint="BF"/>
          <w:sz w:val="32"/>
          <w:szCs w:val="32"/>
        </w:rPr>
        <w:t> –</w:t>
      </w:r>
    </w:p>
    <w:p w14:paraId="4F9AD6EE" w14:textId="72C265FE" w:rsidR="00311FA6" w:rsidRPr="009977FC" w:rsidRDefault="00640444" w:rsidP="00147A57">
      <w:pPr>
        <w:spacing w:line="23" w:lineRule="atLeast"/>
        <w:ind w:right="1183"/>
        <w:rPr>
          <w:rFonts w:asciiTheme="minorHAnsi" w:hAnsiTheme="minorHAnsi" w:cstheme="minorHAnsi"/>
          <w:b/>
          <w:color w:val="404040" w:themeColor="text1" w:themeTint="BF"/>
          <w:sz w:val="24"/>
        </w:rPr>
      </w:pPr>
      <w:r w:rsidRPr="00147A57">
        <w:rPr>
          <w:rFonts w:asciiTheme="minorHAnsi" w:hAnsiTheme="minorHAnsi"/>
          <w:b/>
          <w:color w:val="404040" w:themeColor="text1" w:themeTint="BF"/>
          <w:sz w:val="24"/>
        </w:rPr>
        <w:t>OECP</w:t>
      </w:r>
      <w:r w:rsidR="00147A57" w:rsidRPr="00147A57">
        <w:rPr>
          <w:rFonts w:asciiTheme="minorHAnsi" w:hAnsiTheme="minorHAnsi"/>
          <w:b/>
          <w:color w:val="404040" w:themeColor="text1" w:themeTint="BF"/>
          <w:sz w:val="24"/>
        </w:rPr>
        <w:t xml:space="preserve"> </w:t>
      </w:r>
      <w:bookmarkStart w:id="0" w:name="_Hlk111129080"/>
      <w:r w:rsidR="0036295D">
        <w:rPr>
          <w:rFonts w:asciiTheme="minorHAnsi" w:hAnsiTheme="minorHAnsi"/>
          <w:b/>
          <w:color w:val="404040" w:themeColor="text1" w:themeTint="BF"/>
          <w:sz w:val="24"/>
        </w:rPr>
        <w:t>Sommaire exécutif</w:t>
      </w:r>
      <w:bookmarkEnd w:id="0"/>
    </w:p>
    <w:p w14:paraId="02344C92" w14:textId="77777777" w:rsidR="00311FA6" w:rsidRPr="009977FC" w:rsidRDefault="00311FA6" w:rsidP="0045136B">
      <w:pPr>
        <w:spacing w:line="23" w:lineRule="atLeast"/>
        <w:jc w:val="both"/>
        <w:rPr>
          <w:rFonts w:asciiTheme="minorHAnsi" w:hAnsiTheme="minorHAnsi" w:cstheme="minorHAnsi"/>
        </w:rPr>
      </w:pPr>
    </w:p>
    <w:p w14:paraId="21F11F5B" w14:textId="233493AC" w:rsidR="00311FA6" w:rsidRPr="006936B1" w:rsidRDefault="00311FA6" w:rsidP="00311FA6">
      <w:pPr>
        <w:spacing w:line="276" w:lineRule="auto"/>
        <w:ind w:right="1440"/>
        <w:rPr>
          <w:rFonts w:asciiTheme="minorHAnsi" w:hAnsiTheme="minorHAnsi" w:cstheme="minorHAnsi"/>
          <w:b/>
          <w:sz w:val="24"/>
          <w:szCs w:val="28"/>
        </w:rPr>
      </w:pPr>
      <w:r w:rsidRPr="006936B1">
        <w:rPr>
          <w:rFonts w:asciiTheme="minorHAnsi" w:hAnsiTheme="minorHAnsi"/>
          <w:b/>
          <w:sz w:val="24"/>
          <w:szCs w:val="28"/>
        </w:rPr>
        <w:t>Préparé pour l</w:t>
      </w:r>
      <w:r w:rsidR="00863EDF" w:rsidRPr="006936B1">
        <w:rPr>
          <w:rFonts w:asciiTheme="minorHAnsi" w:hAnsiTheme="minorHAnsi"/>
          <w:b/>
          <w:sz w:val="24"/>
          <w:szCs w:val="28"/>
        </w:rPr>
        <w:t>’</w:t>
      </w:r>
      <w:r w:rsidRPr="006936B1">
        <w:rPr>
          <w:rFonts w:asciiTheme="minorHAnsi" w:hAnsiTheme="minorHAnsi"/>
          <w:b/>
          <w:sz w:val="24"/>
          <w:szCs w:val="28"/>
        </w:rPr>
        <w:t>Agence du revenu du Canada</w:t>
      </w:r>
    </w:p>
    <w:p w14:paraId="2B512469" w14:textId="77777777" w:rsidR="00311FA6" w:rsidRPr="006936B1" w:rsidRDefault="00640444" w:rsidP="00753B31">
      <w:pPr>
        <w:spacing w:line="276" w:lineRule="auto"/>
        <w:ind w:right="1440"/>
        <w:rPr>
          <w:rFonts w:asciiTheme="minorHAnsi" w:hAnsiTheme="minorHAnsi" w:cstheme="minorHAnsi"/>
          <w:sz w:val="24"/>
          <w:szCs w:val="28"/>
        </w:rPr>
      </w:pPr>
      <w:r w:rsidRPr="006936B1">
        <w:rPr>
          <w:rFonts w:asciiTheme="minorHAnsi" w:hAnsiTheme="minorHAnsi"/>
          <w:sz w:val="24"/>
          <w:szCs w:val="28"/>
        </w:rPr>
        <w:t>Nom du fournisseur : Narrative Research Inc.</w:t>
      </w:r>
    </w:p>
    <w:p w14:paraId="796C152C" w14:textId="50B52DC2" w:rsidR="00311FA6" w:rsidRPr="006936B1" w:rsidRDefault="00311FA6" w:rsidP="00311FA6">
      <w:pPr>
        <w:spacing w:line="276" w:lineRule="auto"/>
        <w:ind w:right="1440"/>
        <w:rPr>
          <w:rFonts w:asciiTheme="minorHAnsi" w:hAnsiTheme="minorHAnsi" w:cstheme="minorHAnsi"/>
          <w:sz w:val="24"/>
          <w:szCs w:val="28"/>
        </w:rPr>
      </w:pPr>
      <w:r w:rsidRPr="006936B1">
        <w:rPr>
          <w:rFonts w:asciiTheme="minorHAnsi" w:hAnsiTheme="minorHAnsi"/>
          <w:sz w:val="24"/>
          <w:szCs w:val="28"/>
        </w:rPr>
        <w:t>Mars 2022</w:t>
      </w:r>
    </w:p>
    <w:p w14:paraId="42753178" w14:textId="77777777" w:rsidR="00311FA6" w:rsidRPr="009977FC" w:rsidRDefault="00311FA6" w:rsidP="00753B31">
      <w:pPr>
        <w:spacing w:line="276" w:lineRule="auto"/>
        <w:ind w:right="1440"/>
        <w:rPr>
          <w:rFonts w:asciiTheme="minorHAnsi" w:hAnsiTheme="minorHAnsi" w:cstheme="minorHAnsi"/>
          <w:sz w:val="24"/>
          <w:szCs w:val="28"/>
        </w:rPr>
      </w:pPr>
    </w:p>
    <w:p w14:paraId="4B9248D3" w14:textId="10E137D4" w:rsidR="00311FA6" w:rsidRPr="009977FC" w:rsidRDefault="00640444" w:rsidP="00753B31">
      <w:pPr>
        <w:spacing w:line="276" w:lineRule="auto"/>
        <w:ind w:right="-273"/>
        <w:rPr>
          <w:rFonts w:asciiTheme="minorHAnsi" w:hAnsiTheme="minorHAnsi" w:cstheme="minorHAnsi"/>
          <w:sz w:val="24"/>
          <w:szCs w:val="28"/>
        </w:rPr>
      </w:pPr>
      <w:r>
        <w:rPr>
          <w:rFonts w:asciiTheme="minorHAnsi" w:hAnsiTheme="minorHAnsi"/>
          <w:sz w:val="24"/>
          <w:szCs w:val="28"/>
        </w:rPr>
        <w:t>Ce rapport présente les détails méthodologiques pour la phase suivant la campagne de l</w:t>
      </w:r>
      <w:r w:rsidR="00863EDF">
        <w:rPr>
          <w:rFonts w:asciiTheme="minorHAnsi" w:hAnsiTheme="minorHAnsi"/>
          <w:sz w:val="24"/>
          <w:szCs w:val="28"/>
        </w:rPr>
        <w:t>’</w:t>
      </w:r>
      <w:r>
        <w:rPr>
          <w:rFonts w:asciiTheme="minorHAnsi" w:hAnsiTheme="minorHAnsi"/>
          <w:sz w:val="24"/>
          <w:szCs w:val="28"/>
        </w:rPr>
        <w:t>étude sur la campagne 2021-2022 de l</w:t>
      </w:r>
      <w:r w:rsidR="00863EDF">
        <w:rPr>
          <w:rFonts w:asciiTheme="minorHAnsi" w:hAnsiTheme="minorHAnsi"/>
          <w:sz w:val="24"/>
          <w:szCs w:val="28"/>
        </w:rPr>
        <w:t>’</w:t>
      </w:r>
      <w:r>
        <w:rPr>
          <w:rFonts w:asciiTheme="minorHAnsi" w:hAnsiTheme="minorHAnsi"/>
          <w:sz w:val="24"/>
          <w:szCs w:val="28"/>
        </w:rPr>
        <w:t>Agence sur les arnaques, laquelle a été menée par Narrative Research Inc. au nom de l</w:t>
      </w:r>
      <w:r w:rsidR="00863EDF">
        <w:rPr>
          <w:rFonts w:asciiTheme="minorHAnsi" w:hAnsiTheme="minorHAnsi"/>
          <w:sz w:val="24"/>
          <w:szCs w:val="28"/>
        </w:rPr>
        <w:t>’</w:t>
      </w:r>
      <w:r>
        <w:rPr>
          <w:rFonts w:asciiTheme="minorHAnsi" w:hAnsiTheme="minorHAnsi"/>
          <w:sz w:val="24"/>
          <w:szCs w:val="28"/>
        </w:rPr>
        <w:t>Agence du revenu du Canada. Les sondages suivant la campagne ont été menés auprès de 2 002 répondants du grand public canadien âgés de 18 ans et plus, du 7 au 15 mars </w:t>
      </w:r>
      <w:r>
        <w:rPr>
          <w:rFonts w:asciiTheme="minorHAnsi" w:hAnsiTheme="minorHAnsi"/>
          <w:bCs/>
          <w:color w:val="000000"/>
          <w:sz w:val="24"/>
          <w:szCs w:val="28"/>
        </w:rPr>
        <w:t>2022.</w:t>
      </w:r>
    </w:p>
    <w:p w14:paraId="460094A7" w14:textId="77777777" w:rsidR="00311FA6" w:rsidRPr="009977FC" w:rsidRDefault="00311FA6" w:rsidP="00753B31">
      <w:pPr>
        <w:spacing w:line="276" w:lineRule="auto"/>
        <w:rPr>
          <w:rFonts w:asciiTheme="minorHAnsi" w:hAnsiTheme="minorHAnsi" w:cstheme="minorHAnsi"/>
          <w:sz w:val="24"/>
          <w:szCs w:val="28"/>
        </w:rPr>
      </w:pPr>
    </w:p>
    <w:p w14:paraId="675C3B14" w14:textId="6A3A217E" w:rsidR="00311FA6" w:rsidRPr="006936B1" w:rsidRDefault="00607683" w:rsidP="00607683">
      <w:pPr>
        <w:spacing w:line="276" w:lineRule="auto"/>
        <w:rPr>
          <w:rFonts w:asciiTheme="minorHAnsi" w:hAnsiTheme="minorHAnsi" w:cstheme="minorHAnsi"/>
          <w:sz w:val="24"/>
          <w:szCs w:val="28"/>
          <w:lang w:val="en-US"/>
        </w:rPr>
      </w:pPr>
      <w:r w:rsidRPr="006936B1">
        <w:rPr>
          <w:rFonts w:asciiTheme="minorHAnsi" w:hAnsiTheme="minorHAnsi"/>
          <w:sz w:val="24"/>
          <w:szCs w:val="28"/>
          <w:lang w:val="en-US"/>
        </w:rPr>
        <w:t xml:space="preserve">This publication is also available in English under the title: 2021-2022 CRA Slam the Scam Campaign – ACET </w:t>
      </w:r>
      <w:r w:rsidR="0036295D">
        <w:rPr>
          <w:rFonts w:asciiTheme="minorHAnsi" w:hAnsiTheme="minorHAnsi"/>
          <w:sz w:val="24"/>
          <w:szCs w:val="28"/>
          <w:lang w:val="en-US"/>
        </w:rPr>
        <w:t>Executive Summary</w:t>
      </w:r>
      <w:r w:rsidRPr="006936B1">
        <w:rPr>
          <w:rFonts w:asciiTheme="minorHAnsi" w:hAnsiTheme="minorHAnsi"/>
          <w:sz w:val="24"/>
          <w:szCs w:val="28"/>
          <w:lang w:val="en-US"/>
        </w:rPr>
        <w:t>.</w:t>
      </w:r>
    </w:p>
    <w:p w14:paraId="58534E06" w14:textId="77777777" w:rsidR="00311FA6" w:rsidRPr="00863EDF" w:rsidRDefault="00311FA6" w:rsidP="00753B31">
      <w:pPr>
        <w:spacing w:line="276" w:lineRule="auto"/>
        <w:ind w:right="1440"/>
        <w:jc w:val="both"/>
        <w:rPr>
          <w:rFonts w:asciiTheme="minorHAnsi" w:hAnsiTheme="minorHAnsi" w:cstheme="minorHAnsi"/>
          <w:sz w:val="24"/>
          <w:szCs w:val="28"/>
          <w:highlight w:val="yellow"/>
          <w:lang w:val="en-US"/>
        </w:rPr>
      </w:pPr>
    </w:p>
    <w:p w14:paraId="0653C670" w14:textId="12A8B248" w:rsidR="00311FA6" w:rsidRPr="006936B1" w:rsidRDefault="00311FA6" w:rsidP="00311FA6">
      <w:pPr>
        <w:spacing w:line="276" w:lineRule="auto"/>
        <w:ind w:right="11"/>
        <w:rPr>
          <w:rFonts w:asciiTheme="minorHAnsi" w:hAnsiTheme="minorHAnsi" w:cstheme="minorHAnsi"/>
          <w:sz w:val="24"/>
          <w:szCs w:val="28"/>
        </w:rPr>
      </w:pPr>
      <w:r w:rsidRPr="006936B1">
        <w:rPr>
          <w:rFonts w:asciiTheme="minorHAnsi" w:hAnsiTheme="minorHAnsi"/>
          <w:sz w:val="24"/>
          <w:szCs w:val="28"/>
        </w:rPr>
        <w:t>Cette publication peut être reproduite à des fins non commerciales uniquement. Une autorisation écrite doit être obtenue au préalable auprès de l</w:t>
      </w:r>
      <w:r w:rsidR="00863EDF" w:rsidRPr="006936B1">
        <w:rPr>
          <w:rFonts w:asciiTheme="minorHAnsi" w:hAnsiTheme="minorHAnsi"/>
          <w:sz w:val="24"/>
          <w:szCs w:val="28"/>
        </w:rPr>
        <w:t>’</w:t>
      </w:r>
      <w:r w:rsidRPr="006936B1">
        <w:rPr>
          <w:rFonts w:asciiTheme="minorHAnsi" w:hAnsiTheme="minorHAnsi"/>
          <w:sz w:val="24"/>
          <w:szCs w:val="28"/>
        </w:rPr>
        <w:t>ARC. Pour en savoir plus sur le présent rapport, veuillez communiquer avec l</w:t>
      </w:r>
      <w:r w:rsidR="00863EDF" w:rsidRPr="006936B1">
        <w:rPr>
          <w:rFonts w:asciiTheme="minorHAnsi" w:hAnsiTheme="minorHAnsi"/>
          <w:sz w:val="24"/>
          <w:szCs w:val="28"/>
        </w:rPr>
        <w:t>’</w:t>
      </w:r>
      <w:r w:rsidRPr="006936B1">
        <w:rPr>
          <w:rFonts w:asciiTheme="minorHAnsi" w:hAnsiTheme="minorHAnsi"/>
          <w:sz w:val="24"/>
          <w:szCs w:val="28"/>
        </w:rPr>
        <w:t>Agence du revenu du Canada par courriel à l</w:t>
      </w:r>
      <w:r w:rsidR="00863EDF" w:rsidRPr="006936B1">
        <w:rPr>
          <w:rFonts w:asciiTheme="minorHAnsi" w:hAnsiTheme="minorHAnsi"/>
          <w:sz w:val="24"/>
          <w:szCs w:val="28"/>
        </w:rPr>
        <w:t>’</w:t>
      </w:r>
      <w:r w:rsidRPr="006936B1">
        <w:rPr>
          <w:rFonts w:asciiTheme="minorHAnsi" w:hAnsiTheme="minorHAnsi"/>
          <w:sz w:val="24"/>
          <w:szCs w:val="28"/>
        </w:rPr>
        <w:t>adresse</w:t>
      </w:r>
      <w:r w:rsidR="006936B1">
        <w:rPr>
          <w:rFonts w:asciiTheme="minorHAnsi" w:hAnsiTheme="minorHAnsi"/>
          <w:sz w:val="24"/>
          <w:szCs w:val="28"/>
        </w:rPr>
        <w:t xml:space="preserve"> </w:t>
      </w:r>
      <w:hyperlink r:id="rId11" w:history="1">
        <w:r w:rsidR="006936B1" w:rsidRPr="00011FD8">
          <w:rPr>
            <w:rStyle w:val="Hyperlink"/>
            <w:rFonts w:asciiTheme="minorHAnsi" w:hAnsiTheme="minorHAnsi"/>
            <w:bCs/>
            <w:sz w:val="24"/>
          </w:rPr>
          <w:t>cra-arc.media@cra-arc.gc.ca</w:t>
        </w:r>
      </w:hyperlink>
      <w:r w:rsidRPr="006936B1">
        <w:rPr>
          <w:rFonts w:asciiTheme="minorHAnsi" w:hAnsiTheme="minorHAnsi"/>
          <w:sz w:val="24"/>
          <w:szCs w:val="28"/>
        </w:rPr>
        <w:t xml:space="preserve">. </w:t>
      </w:r>
    </w:p>
    <w:p w14:paraId="56F07C25" w14:textId="77777777" w:rsidR="00311FA6" w:rsidRPr="006936B1" w:rsidRDefault="00311FA6" w:rsidP="00753B31">
      <w:pPr>
        <w:spacing w:line="276" w:lineRule="auto"/>
        <w:ind w:right="1440"/>
        <w:rPr>
          <w:rFonts w:asciiTheme="minorHAnsi" w:hAnsiTheme="minorHAnsi" w:cstheme="minorHAnsi"/>
          <w:sz w:val="24"/>
          <w:highlight w:val="yellow"/>
        </w:rPr>
      </w:pPr>
    </w:p>
    <w:p w14:paraId="00522F9D" w14:textId="2D1A7A3C" w:rsidR="00311FA6" w:rsidRPr="006936B1" w:rsidRDefault="00311FA6" w:rsidP="00311FA6">
      <w:pPr>
        <w:autoSpaceDE w:val="0"/>
        <w:autoSpaceDN w:val="0"/>
        <w:adjustRightInd w:val="0"/>
        <w:spacing w:line="276" w:lineRule="auto"/>
        <w:rPr>
          <w:rFonts w:asciiTheme="minorHAnsi" w:hAnsiTheme="minorHAnsi" w:cstheme="minorHAnsi"/>
          <w:sz w:val="24"/>
          <w:szCs w:val="28"/>
          <w:lang w:val="en-US"/>
        </w:rPr>
      </w:pPr>
      <w:r w:rsidRPr="006936B1">
        <w:rPr>
          <w:rFonts w:asciiTheme="minorHAnsi" w:hAnsiTheme="minorHAnsi"/>
          <w:sz w:val="24"/>
          <w:szCs w:val="28"/>
          <w:lang w:val="en-US" w:eastAsia="en-CA"/>
        </w:rPr>
        <w:t>101, promenade du Colonel-By</w:t>
      </w:r>
    </w:p>
    <w:p w14:paraId="565BC98C" w14:textId="6E2D4A61" w:rsidR="00311FA6" w:rsidRPr="006936B1" w:rsidRDefault="00311FA6" w:rsidP="00311FA6">
      <w:pPr>
        <w:autoSpaceDE w:val="0"/>
        <w:autoSpaceDN w:val="0"/>
        <w:adjustRightInd w:val="0"/>
        <w:spacing w:line="276" w:lineRule="auto"/>
        <w:rPr>
          <w:rFonts w:asciiTheme="minorHAnsi" w:hAnsiTheme="minorHAnsi" w:cstheme="minorHAnsi"/>
          <w:sz w:val="24"/>
          <w:szCs w:val="28"/>
          <w:lang w:val="en-US"/>
        </w:rPr>
      </w:pPr>
      <w:r w:rsidRPr="006936B1">
        <w:rPr>
          <w:rFonts w:asciiTheme="minorHAnsi" w:hAnsiTheme="minorHAnsi"/>
          <w:sz w:val="24"/>
          <w:szCs w:val="28"/>
          <w:lang w:val="en-US" w:eastAsia="en-CA"/>
        </w:rPr>
        <w:t>Ottawa ON  K1A 0K2</w:t>
      </w:r>
    </w:p>
    <w:p w14:paraId="05007276" w14:textId="5533C52D" w:rsidR="00311FA6" w:rsidRPr="006936B1" w:rsidRDefault="00311FA6" w:rsidP="00311FA6">
      <w:pPr>
        <w:spacing w:line="276" w:lineRule="auto"/>
        <w:ind w:right="1440"/>
        <w:rPr>
          <w:rFonts w:asciiTheme="minorHAnsi" w:hAnsiTheme="minorHAnsi" w:cstheme="minorHAnsi"/>
          <w:sz w:val="24"/>
          <w:szCs w:val="28"/>
        </w:rPr>
      </w:pPr>
      <w:r w:rsidRPr="006936B1">
        <w:rPr>
          <w:rFonts w:asciiTheme="minorHAnsi" w:hAnsiTheme="minorHAnsi"/>
          <w:sz w:val="24"/>
          <w:szCs w:val="28"/>
          <w:lang w:eastAsia="en-CA"/>
        </w:rPr>
        <w:t>CANADA</w:t>
      </w:r>
    </w:p>
    <w:p w14:paraId="7D33CB4A" w14:textId="77777777" w:rsidR="00311FA6" w:rsidRPr="006936B1" w:rsidRDefault="00311FA6" w:rsidP="00753B31">
      <w:pPr>
        <w:spacing w:line="276" w:lineRule="auto"/>
        <w:ind w:right="1440"/>
        <w:rPr>
          <w:rFonts w:asciiTheme="minorHAnsi" w:hAnsiTheme="minorHAnsi" w:cstheme="minorHAnsi"/>
          <w:sz w:val="24"/>
          <w:highlight w:val="yellow"/>
        </w:rPr>
      </w:pPr>
    </w:p>
    <w:p w14:paraId="072B2B81" w14:textId="78CFB7C6" w:rsidR="00311FA6" w:rsidRPr="006936B1" w:rsidRDefault="00311FA6" w:rsidP="00311FA6">
      <w:pPr>
        <w:spacing w:line="276" w:lineRule="auto"/>
        <w:ind w:right="1440"/>
        <w:rPr>
          <w:rFonts w:asciiTheme="minorHAnsi" w:hAnsiTheme="minorHAnsi" w:cstheme="minorHAnsi"/>
          <w:b/>
          <w:sz w:val="24"/>
          <w:szCs w:val="28"/>
        </w:rPr>
      </w:pPr>
      <w:r w:rsidRPr="006936B1">
        <w:rPr>
          <w:rFonts w:asciiTheme="minorHAnsi" w:hAnsiTheme="minorHAnsi"/>
          <w:b/>
          <w:sz w:val="24"/>
          <w:szCs w:val="28"/>
        </w:rPr>
        <w:t xml:space="preserve">Numéro de catalogue : </w:t>
      </w:r>
      <w:bookmarkStart w:id="1" w:name="_Hlk111129351"/>
      <w:r w:rsidR="008E4AD5">
        <w:rPr>
          <w:color w:val="000000"/>
        </w:rPr>
        <w:t>Rv4-150/2-2022F-PDF</w:t>
      </w:r>
      <w:bookmarkEnd w:id="1"/>
    </w:p>
    <w:p w14:paraId="40B07743" w14:textId="77777777" w:rsidR="008E4AD5" w:rsidRDefault="00640444" w:rsidP="008E4AD5">
      <w:pPr>
        <w:rPr>
          <w:rFonts w:ascii="Calibri" w:hAnsi="Calibri"/>
          <w:color w:val="000000"/>
        </w:rPr>
      </w:pPr>
      <w:r>
        <w:rPr>
          <w:rFonts w:asciiTheme="minorHAnsi" w:hAnsiTheme="minorHAnsi"/>
          <w:b/>
          <w:sz w:val="24"/>
          <w:szCs w:val="28"/>
        </w:rPr>
        <w:t xml:space="preserve">Numéro international normalisé du livre (ISBN) : </w:t>
      </w:r>
      <w:bookmarkStart w:id="2" w:name="_Hlk111129358"/>
      <w:r w:rsidR="008E4AD5">
        <w:rPr>
          <w:color w:val="000000"/>
        </w:rPr>
        <w:t>978-0-660-44563-2</w:t>
      </w:r>
      <w:bookmarkEnd w:id="2"/>
    </w:p>
    <w:p w14:paraId="0A7EFAAE" w14:textId="77777777" w:rsidR="00311FA6" w:rsidRPr="009977FC" w:rsidRDefault="00311FA6" w:rsidP="00753B31">
      <w:pPr>
        <w:spacing w:line="276" w:lineRule="auto"/>
        <w:ind w:right="1440"/>
        <w:rPr>
          <w:rFonts w:asciiTheme="minorHAnsi" w:hAnsiTheme="minorHAnsi" w:cstheme="minorHAnsi"/>
          <w:b/>
          <w:sz w:val="24"/>
          <w:szCs w:val="28"/>
        </w:rPr>
      </w:pPr>
    </w:p>
    <w:p w14:paraId="3D8BF699" w14:textId="7F7248BC" w:rsidR="00311FA6" w:rsidRPr="009977FC" w:rsidRDefault="00311FA6" w:rsidP="00311FA6">
      <w:pPr>
        <w:spacing w:line="23" w:lineRule="atLeast"/>
        <w:ind w:right="1440"/>
        <w:rPr>
          <w:rFonts w:asciiTheme="minorHAnsi" w:hAnsiTheme="minorHAnsi" w:cstheme="minorHAnsi"/>
          <w:b/>
          <w:sz w:val="24"/>
          <w:szCs w:val="28"/>
        </w:rPr>
      </w:pPr>
      <w:r>
        <w:rPr>
          <w:rFonts w:asciiTheme="minorHAnsi" w:hAnsiTheme="minorHAnsi"/>
          <w:b/>
          <w:color w:val="000000"/>
          <w:sz w:val="24"/>
          <w:szCs w:val="28"/>
        </w:rPr>
        <w:t>Publications connexes (numéro d</w:t>
      </w:r>
      <w:r w:rsidR="00863EDF">
        <w:rPr>
          <w:rFonts w:asciiTheme="minorHAnsi" w:hAnsiTheme="minorHAnsi"/>
          <w:b/>
          <w:color w:val="000000"/>
          <w:sz w:val="24"/>
          <w:szCs w:val="28"/>
        </w:rPr>
        <w:t>’</w:t>
      </w:r>
      <w:r>
        <w:rPr>
          <w:rFonts w:asciiTheme="minorHAnsi" w:hAnsiTheme="minorHAnsi"/>
          <w:b/>
          <w:color w:val="000000"/>
          <w:sz w:val="24"/>
          <w:szCs w:val="28"/>
        </w:rPr>
        <w:t>enregistrement : ROP 051-20)</w:t>
      </w:r>
      <w:r>
        <w:rPr>
          <w:rFonts w:asciiTheme="minorHAnsi" w:hAnsiTheme="minorHAnsi"/>
          <w:color w:val="800080"/>
          <w:sz w:val="24"/>
          <w:szCs w:val="28"/>
        </w:rPr>
        <w:t> :</w:t>
      </w:r>
    </w:p>
    <w:p w14:paraId="3D802CFD" w14:textId="77777777" w:rsidR="00311FA6" w:rsidRPr="009977FC" w:rsidRDefault="00311FA6" w:rsidP="0045136B">
      <w:pPr>
        <w:spacing w:line="23" w:lineRule="atLeast"/>
        <w:ind w:right="1440"/>
        <w:rPr>
          <w:rFonts w:asciiTheme="minorHAnsi" w:hAnsiTheme="minorHAnsi" w:cstheme="minorHAnsi"/>
          <w:b/>
          <w:sz w:val="24"/>
          <w:szCs w:val="28"/>
        </w:rPr>
      </w:pPr>
    </w:p>
    <w:p w14:paraId="446E71A1" w14:textId="71484A5B" w:rsidR="00311FA6" w:rsidRPr="009977FC" w:rsidRDefault="00640444" w:rsidP="0045136B">
      <w:pPr>
        <w:spacing w:line="23" w:lineRule="atLeast"/>
        <w:ind w:right="1440"/>
        <w:rPr>
          <w:rFonts w:asciiTheme="minorHAnsi" w:hAnsiTheme="minorHAnsi" w:cstheme="minorHAnsi"/>
          <w:b/>
          <w:sz w:val="24"/>
          <w:szCs w:val="28"/>
        </w:rPr>
      </w:pPr>
      <w:r>
        <w:rPr>
          <w:rFonts w:asciiTheme="minorHAnsi" w:hAnsiTheme="minorHAnsi"/>
          <w:b/>
          <w:sz w:val="24"/>
          <w:szCs w:val="28"/>
        </w:rPr>
        <w:t>Numéro de catalogue (</w:t>
      </w:r>
      <w:r w:rsidR="0036295D">
        <w:rPr>
          <w:rFonts w:asciiTheme="minorHAnsi" w:hAnsiTheme="minorHAnsi"/>
          <w:b/>
          <w:sz w:val="24"/>
          <w:szCs w:val="28"/>
        </w:rPr>
        <w:t>sommaire exécutif</w:t>
      </w:r>
      <w:r>
        <w:rPr>
          <w:rFonts w:asciiTheme="minorHAnsi" w:hAnsiTheme="minorHAnsi"/>
          <w:b/>
          <w:sz w:val="24"/>
          <w:szCs w:val="28"/>
        </w:rPr>
        <w:t xml:space="preserve">, </w:t>
      </w:r>
      <w:r w:rsidR="006936B1">
        <w:rPr>
          <w:rFonts w:asciiTheme="minorHAnsi" w:hAnsiTheme="minorHAnsi"/>
          <w:b/>
          <w:sz w:val="24"/>
          <w:szCs w:val="28"/>
        </w:rPr>
        <w:t>angl</w:t>
      </w:r>
      <w:r>
        <w:rPr>
          <w:rFonts w:asciiTheme="minorHAnsi" w:hAnsiTheme="minorHAnsi"/>
          <w:b/>
          <w:sz w:val="24"/>
          <w:szCs w:val="28"/>
        </w:rPr>
        <w:t xml:space="preserve">ais) : </w:t>
      </w:r>
      <w:r w:rsidR="008E4AD5">
        <w:rPr>
          <w:color w:val="000000"/>
        </w:rPr>
        <w:t>Rv4-150/2-2022E-PDF</w:t>
      </w:r>
    </w:p>
    <w:p w14:paraId="30C72352" w14:textId="58A1CC3F" w:rsidR="00311FA6" w:rsidRPr="009977FC" w:rsidRDefault="00640444" w:rsidP="0045136B">
      <w:pPr>
        <w:spacing w:line="23" w:lineRule="atLeast"/>
        <w:ind w:right="1440"/>
        <w:rPr>
          <w:rFonts w:asciiTheme="minorHAnsi" w:hAnsiTheme="minorHAnsi" w:cstheme="minorHAnsi"/>
          <w:b/>
          <w:sz w:val="24"/>
          <w:szCs w:val="28"/>
        </w:rPr>
      </w:pPr>
      <w:r>
        <w:rPr>
          <w:rFonts w:asciiTheme="minorHAnsi" w:hAnsiTheme="minorHAnsi"/>
          <w:b/>
          <w:sz w:val="24"/>
          <w:szCs w:val="28"/>
        </w:rPr>
        <w:t>ISBN (</w:t>
      </w:r>
      <w:r w:rsidR="006936B1">
        <w:rPr>
          <w:rFonts w:asciiTheme="minorHAnsi" w:hAnsiTheme="minorHAnsi"/>
          <w:b/>
          <w:sz w:val="24"/>
          <w:szCs w:val="28"/>
        </w:rPr>
        <w:t>anglais</w:t>
      </w:r>
      <w:r>
        <w:rPr>
          <w:rFonts w:asciiTheme="minorHAnsi" w:hAnsiTheme="minorHAnsi"/>
          <w:b/>
          <w:sz w:val="24"/>
          <w:szCs w:val="28"/>
        </w:rPr>
        <w:t xml:space="preserve">) : </w:t>
      </w:r>
      <w:r w:rsidR="008E4AD5">
        <w:rPr>
          <w:color w:val="000000"/>
        </w:rPr>
        <w:t>978-0-660-44561-8</w:t>
      </w:r>
    </w:p>
    <w:p w14:paraId="62A2DFCC" w14:textId="77777777" w:rsidR="00311FA6" w:rsidRPr="009977FC" w:rsidRDefault="00311FA6" w:rsidP="0045136B">
      <w:pPr>
        <w:spacing w:line="23" w:lineRule="atLeast"/>
        <w:ind w:right="1440"/>
        <w:rPr>
          <w:rFonts w:asciiTheme="minorHAnsi" w:hAnsiTheme="minorHAnsi" w:cstheme="minorHAnsi"/>
          <w:sz w:val="24"/>
          <w:szCs w:val="28"/>
        </w:rPr>
      </w:pPr>
    </w:p>
    <w:p w14:paraId="7F349CBC" w14:textId="3E9377D5" w:rsidR="00311FA6" w:rsidRPr="006936B1" w:rsidRDefault="00640444" w:rsidP="00311FA6">
      <w:pPr>
        <w:spacing w:line="23" w:lineRule="atLeast"/>
        <w:ind w:right="11"/>
        <w:rPr>
          <w:rFonts w:asciiTheme="minorHAnsi" w:hAnsiTheme="minorHAnsi" w:cstheme="minorHAnsi"/>
          <w:sz w:val="24"/>
          <w:szCs w:val="28"/>
        </w:rPr>
      </w:pPr>
      <w:r w:rsidRPr="006936B1">
        <w:rPr>
          <w:rFonts w:asciiTheme="minorHAnsi" w:hAnsiTheme="minorHAnsi"/>
          <w:sz w:val="24"/>
          <w:szCs w:val="28"/>
        </w:rPr>
        <w:t>© Sa Majesté la Reine du chef du Canada, représentée par l</w:t>
      </w:r>
      <w:r w:rsidR="00863EDF" w:rsidRPr="006936B1">
        <w:rPr>
          <w:rFonts w:asciiTheme="minorHAnsi" w:hAnsiTheme="minorHAnsi"/>
          <w:sz w:val="24"/>
          <w:szCs w:val="28"/>
        </w:rPr>
        <w:t>’</w:t>
      </w:r>
      <w:r w:rsidRPr="006936B1">
        <w:rPr>
          <w:rFonts w:asciiTheme="minorHAnsi" w:hAnsiTheme="minorHAnsi"/>
          <w:sz w:val="24"/>
          <w:szCs w:val="28"/>
        </w:rPr>
        <w:t>Agence du revenu du Canada 2022</w:t>
      </w:r>
    </w:p>
    <w:p w14:paraId="33399FAD" w14:textId="2C3C2FFC" w:rsidR="00311FA6" w:rsidRPr="009977FC" w:rsidRDefault="00311FA6" w:rsidP="0045136B">
      <w:pPr>
        <w:spacing w:line="23" w:lineRule="atLeast"/>
        <w:rPr>
          <w:rFonts w:asciiTheme="minorHAnsi" w:hAnsiTheme="minorHAnsi" w:cstheme="minorHAnsi"/>
          <w:b/>
          <w:color w:val="23B2BE"/>
          <w:sz w:val="32"/>
          <w:szCs w:val="32"/>
        </w:rPr>
      </w:pPr>
    </w:p>
    <w:p w14:paraId="44AF8078" w14:textId="77777777" w:rsidR="00311FA6" w:rsidRPr="009977FC" w:rsidRDefault="00311FA6" w:rsidP="0045136B">
      <w:pPr>
        <w:spacing w:line="23" w:lineRule="atLeast"/>
        <w:rPr>
          <w:rFonts w:asciiTheme="minorHAnsi" w:hAnsiTheme="minorHAnsi" w:cstheme="minorHAnsi"/>
          <w:b/>
          <w:color w:val="23B2BE"/>
          <w:sz w:val="32"/>
          <w:szCs w:val="32"/>
        </w:rPr>
      </w:pPr>
    </w:p>
    <w:p w14:paraId="2A6A4730" w14:textId="77777777"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Narrative Research Inc.</w:t>
      </w:r>
    </w:p>
    <w:p w14:paraId="27CFD41D" w14:textId="0AC9BDF6" w:rsidR="00311FA6" w:rsidRPr="0090343C" w:rsidRDefault="00311FA6" w:rsidP="00311FA6">
      <w:pPr>
        <w:spacing w:line="276" w:lineRule="auto"/>
        <w:rPr>
          <w:rFonts w:asciiTheme="minorHAnsi" w:hAnsiTheme="minorHAnsi" w:cstheme="minorHAnsi"/>
          <w:sz w:val="24"/>
        </w:rPr>
      </w:pPr>
      <w:r w:rsidRPr="0090343C">
        <w:rPr>
          <w:rFonts w:asciiTheme="minorHAnsi" w:hAnsiTheme="minorHAnsi"/>
          <w:szCs w:val="22"/>
        </w:rPr>
        <w:t xml:space="preserve">Numéro de contrat : 46558-227949/001/CY </w:t>
      </w:r>
    </w:p>
    <w:p w14:paraId="58BD51F9" w14:textId="45A134AE" w:rsidR="00311FA6" w:rsidRPr="0090343C" w:rsidRDefault="00311FA6" w:rsidP="00311FA6">
      <w:pPr>
        <w:spacing w:line="276" w:lineRule="auto"/>
        <w:rPr>
          <w:rFonts w:asciiTheme="minorHAnsi" w:hAnsiTheme="minorHAnsi" w:cstheme="minorHAnsi"/>
          <w:sz w:val="24"/>
        </w:rPr>
      </w:pPr>
      <w:r w:rsidRPr="0090343C">
        <w:rPr>
          <w:rFonts w:asciiTheme="minorHAnsi" w:hAnsiTheme="minorHAnsi"/>
          <w:sz w:val="24"/>
        </w:rPr>
        <w:t>Numéro d</w:t>
      </w:r>
      <w:r w:rsidR="00863EDF" w:rsidRPr="0090343C">
        <w:rPr>
          <w:rFonts w:asciiTheme="minorHAnsi" w:hAnsiTheme="minorHAnsi"/>
          <w:sz w:val="24"/>
        </w:rPr>
        <w:t>’</w:t>
      </w:r>
      <w:r w:rsidRPr="0090343C">
        <w:rPr>
          <w:rFonts w:asciiTheme="minorHAnsi" w:hAnsiTheme="minorHAnsi"/>
          <w:sz w:val="24"/>
        </w:rPr>
        <w:t>inscription de la ROP : 099-21</w:t>
      </w:r>
    </w:p>
    <w:p w14:paraId="4F890A13" w14:textId="38262A9D" w:rsidR="00311FA6" w:rsidRPr="0090343C" w:rsidRDefault="00311FA6" w:rsidP="00311FA6">
      <w:pPr>
        <w:spacing w:line="276" w:lineRule="auto"/>
        <w:rPr>
          <w:rFonts w:asciiTheme="minorHAnsi" w:hAnsiTheme="minorHAnsi" w:cstheme="minorHAnsi"/>
          <w:sz w:val="24"/>
        </w:rPr>
      </w:pPr>
      <w:r w:rsidRPr="0090343C">
        <w:rPr>
          <w:rFonts w:asciiTheme="minorHAnsi" w:hAnsiTheme="minorHAnsi"/>
          <w:sz w:val="24"/>
        </w:rPr>
        <w:t>Date d</w:t>
      </w:r>
      <w:r w:rsidR="00863EDF" w:rsidRPr="0090343C">
        <w:rPr>
          <w:rFonts w:asciiTheme="minorHAnsi" w:hAnsiTheme="minorHAnsi"/>
          <w:sz w:val="24"/>
        </w:rPr>
        <w:t>’</w:t>
      </w:r>
      <w:r w:rsidRPr="0090343C">
        <w:rPr>
          <w:rFonts w:asciiTheme="minorHAnsi" w:hAnsiTheme="minorHAnsi"/>
          <w:sz w:val="24"/>
        </w:rPr>
        <w:t>attribution du contrat : Le 17 janvier 2022</w:t>
      </w:r>
    </w:p>
    <w:p w14:paraId="5852598F" w14:textId="77777777"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Coût du contrat :</w:t>
      </w:r>
      <w:r>
        <w:rPr>
          <w:rFonts w:asciiTheme="minorHAnsi" w:hAnsiTheme="minorHAnsi"/>
          <w:bCs/>
          <w:color w:val="000000" w:themeColor="text1"/>
          <w:sz w:val="24"/>
        </w:rPr>
        <w:t xml:space="preserve"> 23 272,35 $</w:t>
      </w:r>
    </w:p>
    <w:p w14:paraId="6A429D3C" w14:textId="77777777" w:rsidR="00311FA6" w:rsidRPr="009977FC" w:rsidRDefault="00311FA6" w:rsidP="0096505A">
      <w:pPr>
        <w:spacing w:line="23" w:lineRule="atLeast"/>
        <w:rPr>
          <w:rFonts w:asciiTheme="minorHAnsi" w:hAnsiTheme="minorHAnsi" w:cstheme="minorHAnsi"/>
          <w:highlight w:val="yellow"/>
        </w:rPr>
      </w:pPr>
    </w:p>
    <w:p w14:paraId="743F44D1" w14:textId="55355BD5" w:rsidR="00311FA6" w:rsidRPr="00FA1893" w:rsidRDefault="00311FA6" w:rsidP="00FA1893">
      <w:pPr>
        <w:pStyle w:val="Heading1"/>
        <w:spacing w:line="276" w:lineRule="auto"/>
        <w:rPr>
          <w:rFonts w:asciiTheme="minorHAnsi" w:hAnsiTheme="minorHAnsi"/>
          <w:b w:val="0"/>
          <w:sz w:val="28"/>
        </w:rPr>
      </w:pPr>
      <w:bookmarkStart w:id="3" w:name="_Toc111128283"/>
      <w:r w:rsidRPr="00FA1893">
        <w:rPr>
          <w:rFonts w:asciiTheme="minorHAnsi" w:hAnsiTheme="minorHAnsi"/>
          <w:b w:val="0"/>
          <w:sz w:val="28"/>
        </w:rPr>
        <w:t>Contexte</w:t>
      </w:r>
      <w:bookmarkEnd w:id="3"/>
    </w:p>
    <w:p w14:paraId="3A3FFCC3" w14:textId="77777777" w:rsidR="00311FA6" w:rsidRPr="009977FC" w:rsidRDefault="00311FA6" w:rsidP="0096505A">
      <w:pPr>
        <w:spacing w:line="23" w:lineRule="atLeast"/>
        <w:rPr>
          <w:rFonts w:asciiTheme="minorHAnsi" w:hAnsiTheme="minorHAnsi" w:cstheme="minorHAnsi"/>
          <w:bCs/>
          <w:strike/>
          <w:color w:val="000000"/>
        </w:rPr>
      </w:pPr>
    </w:p>
    <w:p w14:paraId="07FE29A2" w14:textId="276A1349" w:rsidR="00311FA6" w:rsidRPr="009977FC" w:rsidRDefault="0096505A" w:rsidP="0096505A">
      <w:pPr>
        <w:pStyle w:val="BodyText"/>
        <w:spacing w:after="0" w:line="276" w:lineRule="auto"/>
        <w:rPr>
          <w:rFonts w:asciiTheme="minorHAnsi" w:hAnsiTheme="minorHAnsi" w:cstheme="minorHAnsi"/>
          <w:sz w:val="24"/>
          <w:szCs w:val="28"/>
        </w:rPr>
      </w:pPr>
      <w:r>
        <w:rPr>
          <w:rFonts w:asciiTheme="minorHAnsi" w:hAnsiTheme="minorHAnsi"/>
          <w:sz w:val="24"/>
          <w:szCs w:val="28"/>
        </w:rPr>
        <w:t>Les arnaques liées à l</w:t>
      </w:r>
      <w:r w:rsidR="00863EDF">
        <w:rPr>
          <w:rFonts w:asciiTheme="minorHAnsi" w:hAnsiTheme="minorHAnsi"/>
          <w:sz w:val="24"/>
          <w:szCs w:val="28"/>
        </w:rPr>
        <w:t>’</w:t>
      </w:r>
      <w:r>
        <w:rPr>
          <w:rFonts w:asciiTheme="minorHAnsi" w:hAnsiTheme="minorHAnsi"/>
          <w:sz w:val="24"/>
          <w:szCs w:val="28"/>
        </w:rPr>
        <w:t>utilisation du nom du gouvernement du Canada ont été fréquentes au cours des dernières années, et avec la mise en place de programmes d</w:t>
      </w:r>
      <w:r w:rsidR="00863EDF">
        <w:rPr>
          <w:rFonts w:asciiTheme="minorHAnsi" w:hAnsiTheme="minorHAnsi"/>
          <w:sz w:val="24"/>
          <w:szCs w:val="28"/>
        </w:rPr>
        <w:t>’</w:t>
      </w:r>
      <w:r>
        <w:rPr>
          <w:rFonts w:asciiTheme="minorHAnsi" w:hAnsiTheme="minorHAnsi"/>
          <w:sz w:val="24"/>
          <w:szCs w:val="28"/>
        </w:rPr>
        <w:t>urgence pour aider les Canadiens pendant la pandémie, il y a eu une hausse des arnaques liées à la COVID-19.</w:t>
      </w:r>
      <w:r w:rsidRPr="009977FC">
        <w:rPr>
          <w:rStyle w:val="FootnoteReference"/>
          <w:rFonts w:asciiTheme="minorHAnsi" w:hAnsiTheme="minorHAnsi" w:cstheme="minorHAnsi"/>
          <w:sz w:val="24"/>
          <w:szCs w:val="28"/>
          <w:lang w:val="en-CA"/>
        </w:rPr>
        <w:footnoteReference w:id="1"/>
      </w:r>
    </w:p>
    <w:p w14:paraId="3C8FE58C" w14:textId="77777777" w:rsidR="00311FA6" w:rsidRPr="00637763" w:rsidRDefault="00311FA6" w:rsidP="0096505A">
      <w:pPr>
        <w:pStyle w:val="BodyText"/>
        <w:spacing w:after="0" w:line="276" w:lineRule="auto"/>
        <w:rPr>
          <w:rFonts w:asciiTheme="minorHAnsi" w:hAnsiTheme="minorHAnsi" w:cstheme="minorHAnsi"/>
          <w:sz w:val="24"/>
          <w:szCs w:val="28"/>
        </w:rPr>
      </w:pPr>
    </w:p>
    <w:p w14:paraId="1F2C3EC1" w14:textId="4A8BEF2E" w:rsidR="00311FA6" w:rsidRPr="009977FC" w:rsidRDefault="0096505A" w:rsidP="0096505A">
      <w:pPr>
        <w:pStyle w:val="BodyText"/>
        <w:spacing w:after="0" w:line="276" w:lineRule="auto"/>
        <w:rPr>
          <w:rFonts w:asciiTheme="minorHAnsi" w:hAnsiTheme="minorHAnsi" w:cstheme="minorHAnsi"/>
          <w:sz w:val="24"/>
          <w:szCs w:val="28"/>
        </w:rPr>
      </w:pPr>
      <w:r>
        <w:rPr>
          <w:rFonts w:asciiTheme="minorHAnsi" w:hAnsiTheme="minorHAnsi"/>
          <w:sz w:val="24"/>
          <w:szCs w:val="28"/>
        </w:rPr>
        <w:t>Depuis 2017, l</w:t>
      </w:r>
      <w:r w:rsidR="00863EDF">
        <w:rPr>
          <w:rFonts w:asciiTheme="minorHAnsi" w:hAnsiTheme="minorHAnsi"/>
          <w:sz w:val="24"/>
          <w:szCs w:val="28"/>
        </w:rPr>
        <w:t>’</w:t>
      </w:r>
      <w:r>
        <w:rPr>
          <w:rFonts w:asciiTheme="minorHAnsi" w:hAnsiTheme="minorHAnsi"/>
          <w:sz w:val="24"/>
          <w:szCs w:val="28"/>
        </w:rPr>
        <w:t>Agence du revenu du Canada mène chaque année de petites campagnes publicitaires autour de la période de production des déclarations de revenus et pendant le Mois de la prévention de la fraude, en mars, afin d</w:t>
      </w:r>
      <w:r w:rsidR="00863EDF">
        <w:rPr>
          <w:rFonts w:asciiTheme="minorHAnsi" w:hAnsiTheme="minorHAnsi"/>
          <w:sz w:val="24"/>
          <w:szCs w:val="28"/>
        </w:rPr>
        <w:t>’</w:t>
      </w:r>
      <w:r>
        <w:rPr>
          <w:rFonts w:asciiTheme="minorHAnsi" w:hAnsiTheme="minorHAnsi"/>
          <w:sz w:val="24"/>
          <w:szCs w:val="28"/>
        </w:rPr>
        <w:t>accroître la sensibilisation aux arnaques concernant le nom de l</w:t>
      </w:r>
      <w:r w:rsidR="00863EDF">
        <w:rPr>
          <w:rFonts w:asciiTheme="minorHAnsi" w:hAnsiTheme="minorHAnsi"/>
          <w:sz w:val="24"/>
          <w:szCs w:val="28"/>
        </w:rPr>
        <w:t>’</w:t>
      </w:r>
      <w:r>
        <w:rPr>
          <w:rFonts w:asciiTheme="minorHAnsi" w:hAnsiTheme="minorHAnsi"/>
          <w:sz w:val="24"/>
          <w:szCs w:val="28"/>
        </w:rPr>
        <w:t>Agence. Malgré les initiatives prises par l</w:t>
      </w:r>
      <w:r w:rsidR="00863EDF">
        <w:rPr>
          <w:rFonts w:asciiTheme="minorHAnsi" w:hAnsiTheme="minorHAnsi"/>
          <w:sz w:val="24"/>
          <w:szCs w:val="28"/>
        </w:rPr>
        <w:t>’</w:t>
      </w:r>
      <w:r>
        <w:rPr>
          <w:rFonts w:asciiTheme="minorHAnsi" w:hAnsiTheme="minorHAnsi"/>
          <w:sz w:val="24"/>
          <w:szCs w:val="28"/>
        </w:rPr>
        <w:t xml:space="preserve">Agence pour communiquer au public des mises en garde contre les arnaques, les reportages quotidiens dans les médias, les conversations sur les médias sociaux au sujet de fraudeurs se faisant passer pour des représentants du gouvernement du Canada et les arnaques de cette nature persistent. </w:t>
      </w:r>
    </w:p>
    <w:p w14:paraId="7F703911" w14:textId="77777777" w:rsidR="00311FA6" w:rsidRPr="00637763" w:rsidRDefault="00311FA6" w:rsidP="0096505A">
      <w:pPr>
        <w:pStyle w:val="BodyText"/>
        <w:spacing w:after="0" w:line="276" w:lineRule="auto"/>
        <w:rPr>
          <w:rFonts w:asciiTheme="minorHAnsi" w:hAnsiTheme="minorHAnsi" w:cstheme="minorHAnsi"/>
          <w:sz w:val="24"/>
          <w:szCs w:val="28"/>
        </w:rPr>
      </w:pPr>
    </w:p>
    <w:p w14:paraId="2ECF1728" w14:textId="22E9BE4E" w:rsidR="00311FA6" w:rsidRPr="009977FC" w:rsidRDefault="0096505A" w:rsidP="0096505A">
      <w:pPr>
        <w:pStyle w:val="BodyText"/>
        <w:spacing w:after="0" w:line="276" w:lineRule="auto"/>
        <w:rPr>
          <w:rFonts w:asciiTheme="minorHAnsi" w:hAnsiTheme="minorHAnsi" w:cstheme="minorHAnsi"/>
          <w:sz w:val="24"/>
          <w:szCs w:val="28"/>
        </w:rPr>
      </w:pPr>
      <w:r>
        <w:rPr>
          <w:rFonts w:asciiTheme="minorHAnsi" w:hAnsiTheme="minorHAnsi"/>
          <w:sz w:val="24"/>
          <w:szCs w:val="28"/>
        </w:rPr>
        <w:t>Afin de continuer à sensibiliser les gens aux arnaques liées au nom du gouvernement du Canada, et avec la collaboration d</w:t>
      </w:r>
      <w:r w:rsidR="00863EDF">
        <w:rPr>
          <w:rFonts w:asciiTheme="minorHAnsi" w:hAnsiTheme="minorHAnsi"/>
          <w:sz w:val="24"/>
          <w:szCs w:val="28"/>
        </w:rPr>
        <w:t>’</w:t>
      </w:r>
      <w:r>
        <w:rPr>
          <w:rFonts w:asciiTheme="minorHAnsi" w:hAnsiTheme="minorHAnsi"/>
          <w:sz w:val="24"/>
          <w:szCs w:val="28"/>
        </w:rPr>
        <w:t>autres ministères, l</w:t>
      </w:r>
      <w:r w:rsidR="00863EDF">
        <w:rPr>
          <w:rFonts w:asciiTheme="minorHAnsi" w:hAnsiTheme="minorHAnsi"/>
          <w:sz w:val="24"/>
          <w:szCs w:val="28"/>
        </w:rPr>
        <w:t>’</w:t>
      </w:r>
      <w:r>
        <w:rPr>
          <w:rFonts w:asciiTheme="minorHAnsi" w:hAnsiTheme="minorHAnsi"/>
          <w:sz w:val="24"/>
          <w:szCs w:val="28"/>
        </w:rPr>
        <w:t>Agence a mené une campagne soutenue de lutte contre les arnaques multimédias pendant les deux dernières années</w:t>
      </w:r>
      <w:r w:rsidR="00B8750C">
        <w:rPr>
          <w:rFonts w:asciiTheme="minorHAnsi" w:hAnsiTheme="minorHAnsi"/>
          <w:sz w:val="24"/>
          <w:szCs w:val="28"/>
        </w:rPr>
        <w:t xml:space="preserve">. </w:t>
      </w:r>
      <w:r>
        <w:rPr>
          <w:rFonts w:asciiTheme="minorHAnsi" w:hAnsiTheme="minorHAnsi"/>
          <w:sz w:val="24"/>
          <w:szCs w:val="28"/>
        </w:rPr>
        <w:t>La campagne a été lancée à l</w:t>
      </w:r>
      <w:r w:rsidR="00863EDF">
        <w:rPr>
          <w:rFonts w:asciiTheme="minorHAnsi" w:hAnsiTheme="minorHAnsi"/>
          <w:sz w:val="24"/>
          <w:szCs w:val="28"/>
        </w:rPr>
        <w:t>’</w:t>
      </w:r>
      <w:r>
        <w:rPr>
          <w:rFonts w:asciiTheme="minorHAnsi" w:hAnsiTheme="minorHAnsi"/>
          <w:sz w:val="24"/>
          <w:szCs w:val="28"/>
        </w:rPr>
        <w:t xml:space="preserve">automne 2020, et un sondage sur la mémorisation de la publicité a été mené avant le lancement de la campagne. Un sondage final a été mené en mars 2022 après la campagne. </w:t>
      </w:r>
    </w:p>
    <w:p w14:paraId="59B82402" w14:textId="77777777" w:rsidR="00311FA6" w:rsidRPr="009977FC" w:rsidRDefault="00311FA6" w:rsidP="0096505A">
      <w:pPr>
        <w:pStyle w:val="BodyText"/>
        <w:spacing w:after="0" w:line="276" w:lineRule="auto"/>
        <w:rPr>
          <w:rFonts w:asciiTheme="minorHAnsi" w:hAnsiTheme="minorHAnsi" w:cstheme="minorHAnsi"/>
          <w:sz w:val="24"/>
          <w:szCs w:val="28"/>
        </w:rPr>
      </w:pPr>
    </w:p>
    <w:p w14:paraId="25E039E1" w14:textId="38FC70D6" w:rsidR="00311FA6" w:rsidRPr="009977FC" w:rsidRDefault="0096505A" w:rsidP="0096505A">
      <w:pPr>
        <w:spacing w:line="276" w:lineRule="auto"/>
        <w:rPr>
          <w:rFonts w:asciiTheme="minorHAnsi" w:hAnsiTheme="minorHAnsi" w:cstheme="minorHAnsi"/>
          <w:sz w:val="24"/>
          <w:szCs w:val="28"/>
        </w:rPr>
      </w:pPr>
      <w:r>
        <w:rPr>
          <w:rFonts w:asciiTheme="minorHAnsi" w:hAnsiTheme="minorHAnsi"/>
          <w:color w:val="000000"/>
          <w:sz w:val="24"/>
          <w:szCs w:val="28"/>
        </w:rPr>
        <w:t>Il est obligatoire d</w:t>
      </w:r>
      <w:r w:rsidR="00863EDF">
        <w:rPr>
          <w:rFonts w:asciiTheme="minorHAnsi" w:hAnsiTheme="minorHAnsi"/>
          <w:color w:val="000000"/>
          <w:sz w:val="24"/>
          <w:szCs w:val="28"/>
        </w:rPr>
        <w:t>’</w:t>
      </w:r>
      <w:r>
        <w:rPr>
          <w:rFonts w:asciiTheme="minorHAnsi" w:hAnsiTheme="minorHAnsi"/>
          <w:color w:val="000000"/>
          <w:sz w:val="24"/>
          <w:szCs w:val="28"/>
        </w:rPr>
        <w:t>utiliser</w:t>
      </w:r>
      <w:r>
        <w:rPr>
          <w:rFonts w:asciiTheme="minorHAnsi" w:hAnsiTheme="minorHAnsi"/>
          <w:sz w:val="24"/>
          <w:szCs w:val="28"/>
        </w:rPr>
        <w:t xml:space="preserve"> l</w:t>
      </w:r>
      <w:r w:rsidR="00863EDF">
        <w:rPr>
          <w:rFonts w:asciiTheme="minorHAnsi" w:hAnsiTheme="minorHAnsi"/>
          <w:sz w:val="24"/>
          <w:szCs w:val="28"/>
        </w:rPr>
        <w:t>’</w:t>
      </w:r>
      <w:r>
        <w:rPr>
          <w:rFonts w:asciiTheme="minorHAnsi" w:hAnsiTheme="minorHAnsi"/>
          <w:sz w:val="24"/>
          <w:szCs w:val="28"/>
        </w:rPr>
        <w:t>outil d</w:t>
      </w:r>
      <w:r w:rsidR="00863EDF">
        <w:rPr>
          <w:rFonts w:asciiTheme="minorHAnsi" w:hAnsiTheme="minorHAnsi"/>
          <w:sz w:val="24"/>
          <w:szCs w:val="28"/>
        </w:rPr>
        <w:t>’</w:t>
      </w:r>
      <w:r>
        <w:rPr>
          <w:rFonts w:asciiTheme="minorHAnsi" w:hAnsiTheme="minorHAnsi"/>
          <w:sz w:val="24"/>
          <w:szCs w:val="28"/>
        </w:rPr>
        <w:t>évaluation des campagnes publicitaires (OECP) du gouvernement du Canada;</w:t>
      </w:r>
      <w:r>
        <w:rPr>
          <w:rFonts w:asciiTheme="minorHAnsi" w:hAnsiTheme="minorHAnsi"/>
          <w:color w:val="000000"/>
          <w:sz w:val="24"/>
          <w:szCs w:val="28"/>
        </w:rPr>
        <w:t xml:space="preserve"> pour cette recherche, étant donné que le Conseil du Trésor exige que toutes les campagnes publicitaires du gouvernement du Canada qui coûtent plus d</w:t>
      </w:r>
      <w:r w:rsidR="00863EDF">
        <w:rPr>
          <w:rFonts w:asciiTheme="minorHAnsi" w:hAnsiTheme="minorHAnsi"/>
          <w:color w:val="000000"/>
          <w:sz w:val="24"/>
          <w:szCs w:val="28"/>
        </w:rPr>
        <w:t>’</w:t>
      </w:r>
      <w:r>
        <w:rPr>
          <w:rFonts w:asciiTheme="minorHAnsi" w:hAnsiTheme="minorHAnsi"/>
          <w:color w:val="000000"/>
          <w:sz w:val="24"/>
          <w:szCs w:val="28"/>
        </w:rPr>
        <w:t>un million de dollars soient évaluées.</w:t>
      </w:r>
    </w:p>
    <w:p w14:paraId="26193AE4" w14:textId="77777777" w:rsidR="00311FA6" w:rsidRPr="009977FC" w:rsidRDefault="00311FA6" w:rsidP="0096505A">
      <w:pPr>
        <w:spacing w:line="23" w:lineRule="atLeast"/>
        <w:ind w:left="720"/>
        <w:jc w:val="both"/>
        <w:rPr>
          <w:rFonts w:asciiTheme="minorHAnsi" w:hAnsiTheme="minorHAnsi" w:cstheme="minorHAnsi"/>
          <w:highlight w:val="yellow"/>
        </w:rPr>
      </w:pPr>
    </w:p>
    <w:p w14:paraId="58D93BF6" w14:textId="37AAB900" w:rsidR="00311FA6" w:rsidRPr="00FA1893" w:rsidRDefault="0096505A" w:rsidP="001B19DB">
      <w:pPr>
        <w:spacing w:line="23" w:lineRule="atLeast"/>
        <w:rPr>
          <w:rFonts w:asciiTheme="minorHAnsi" w:hAnsiTheme="minorHAnsi" w:cstheme="majorBidi"/>
          <w:b/>
          <w:sz w:val="28"/>
        </w:rPr>
      </w:pPr>
      <w:r>
        <w:br w:type="page"/>
      </w:r>
      <w:bookmarkStart w:id="4" w:name="_Toc111128284"/>
      <w:r w:rsidR="00311FA6" w:rsidRPr="00FA1893">
        <w:rPr>
          <w:rFonts w:asciiTheme="minorHAnsi" w:hAnsiTheme="minorHAnsi"/>
          <w:color w:val="23B2BE"/>
          <w:sz w:val="28"/>
        </w:rPr>
        <w:t>Objectifs de la recherche</w:t>
      </w:r>
      <w:bookmarkEnd w:id="4"/>
    </w:p>
    <w:p w14:paraId="20DE36B1" w14:textId="77777777" w:rsidR="00311FA6" w:rsidRPr="009977FC" w:rsidRDefault="00311FA6" w:rsidP="0096505A">
      <w:pPr>
        <w:pStyle w:val="BodyText"/>
        <w:spacing w:after="0" w:line="23" w:lineRule="atLeast"/>
        <w:rPr>
          <w:rFonts w:asciiTheme="minorHAnsi" w:hAnsiTheme="minorHAnsi" w:cstheme="minorHAnsi"/>
          <w:sz w:val="24"/>
          <w:highlight w:val="yellow"/>
        </w:rPr>
      </w:pPr>
    </w:p>
    <w:p w14:paraId="7583AD6E" w14:textId="7FE4EE38"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L</w:t>
      </w:r>
      <w:r w:rsidR="00863EDF">
        <w:rPr>
          <w:rFonts w:asciiTheme="minorHAnsi" w:hAnsiTheme="minorHAnsi"/>
          <w:sz w:val="24"/>
          <w:szCs w:val="28"/>
        </w:rPr>
        <w:t>’</w:t>
      </w:r>
      <w:r>
        <w:rPr>
          <w:rFonts w:asciiTheme="minorHAnsi" w:hAnsiTheme="minorHAnsi"/>
          <w:sz w:val="24"/>
          <w:szCs w:val="28"/>
        </w:rPr>
        <w:t>objectif de la recherche quantitative était d</w:t>
      </w:r>
      <w:r w:rsidR="00863EDF">
        <w:rPr>
          <w:rFonts w:asciiTheme="minorHAnsi" w:hAnsiTheme="minorHAnsi"/>
          <w:sz w:val="24"/>
          <w:szCs w:val="28"/>
        </w:rPr>
        <w:t>’</w:t>
      </w:r>
      <w:r>
        <w:rPr>
          <w:rFonts w:asciiTheme="minorHAnsi" w:hAnsiTheme="minorHAnsi"/>
          <w:sz w:val="24"/>
          <w:szCs w:val="28"/>
        </w:rPr>
        <w:t>évaluer les réactions à la campagne publicitaire, ainsi que la mémorisation de celle-ci. De façon plus générale, l</w:t>
      </w:r>
      <w:r w:rsidR="00863EDF">
        <w:rPr>
          <w:rFonts w:asciiTheme="minorHAnsi" w:hAnsiTheme="minorHAnsi"/>
          <w:sz w:val="24"/>
          <w:szCs w:val="28"/>
        </w:rPr>
        <w:t>’</w:t>
      </w:r>
      <w:r>
        <w:rPr>
          <w:rFonts w:asciiTheme="minorHAnsi" w:hAnsiTheme="minorHAnsi"/>
          <w:sz w:val="24"/>
          <w:szCs w:val="28"/>
        </w:rPr>
        <w:t>objectif de la recherche est d</w:t>
      </w:r>
      <w:r w:rsidR="00863EDF">
        <w:rPr>
          <w:rFonts w:asciiTheme="minorHAnsi" w:hAnsiTheme="minorHAnsi"/>
          <w:sz w:val="24"/>
          <w:szCs w:val="28"/>
        </w:rPr>
        <w:t>’</w:t>
      </w:r>
      <w:r>
        <w:rPr>
          <w:rFonts w:asciiTheme="minorHAnsi" w:hAnsiTheme="minorHAnsi"/>
          <w:sz w:val="24"/>
          <w:szCs w:val="28"/>
        </w:rPr>
        <w:t>évaluer l</w:t>
      </w:r>
      <w:r w:rsidR="00863EDF">
        <w:rPr>
          <w:rFonts w:asciiTheme="minorHAnsi" w:hAnsiTheme="minorHAnsi"/>
          <w:sz w:val="24"/>
          <w:szCs w:val="28"/>
        </w:rPr>
        <w:t>’</w:t>
      </w:r>
      <w:r>
        <w:rPr>
          <w:rFonts w:asciiTheme="minorHAnsi" w:hAnsiTheme="minorHAnsi"/>
          <w:sz w:val="24"/>
          <w:szCs w:val="28"/>
        </w:rPr>
        <w:t>efficacité de la campagne publicitaire.</w:t>
      </w:r>
      <w:r>
        <w:rPr>
          <w:rFonts w:asciiTheme="minorHAnsi" w:hAnsiTheme="minorHAnsi"/>
          <w:bCs/>
          <w:sz w:val="24"/>
        </w:rPr>
        <w:t xml:space="preserve"> </w:t>
      </w:r>
      <w:r>
        <w:rPr>
          <w:rFonts w:asciiTheme="minorHAnsi" w:hAnsiTheme="minorHAnsi"/>
          <w:sz w:val="24"/>
          <w:szCs w:val="28"/>
        </w:rPr>
        <w:t>Plus précisément, les objectifs de recherche comprenaient ce qui suit :</w:t>
      </w:r>
    </w:p>
    <w:p w14:paraId="57A14F3E" w14:textId="77777777" w:rsidR="00311FA6" w:rsidRPr="009977FC" w:rsidRDefault="00311FA6" w:rsidP="0096505A">
      <w:pPr>
        <w:spacing w:line="276" w:lineRule="auto"/>
        <w:rPr>
          <w:rFonts w:asciiTheme="minorHAnsi" w:hAnsiTheme="minorHAnsi" w:cstheme="minorHAnsi"/>
          <w:sz w:val="24"/>
          <w:szCs w:val="28"/>
        </w:rPr>
      </w:pPr>
    </w:p>
    <w:p w14:paraId="13FBBF7E" w14:textId="77777777" w:rsidR="00311FA6" w:rsidRPr="009977FC" w:rsidRDefault="0096505A" w:rsidP="0096505A">
      <w:pPr>
        <w:spacing w:line="276" w:lineRule="auto"/>
        <w:jc w:val="both"/>
        <w:rPr>
          <w:rFonts w:asciiTheme="minorHAnsi" w:hAnsiTheme="minorHAnsi" w:cstheme="minorHAnsi"/>
          <w:sz w:val="24"/>
        </w:rPr>
      </w:pPr>
      <w:r>
        <w:rPr>
          <w:rFonts w:asciiTheme="minorHAnsi" w:hAnsiTheme="minorHAnsi"/>
          <w:sz w:val="24"/>
        </w:rPr>
        <w:t>une évaluation après la campagne pour évaluer :</w:t>
      </w:r>
    </w:p>
    <w:p w14:paraId="3BEDF567" w14:textId="77777777" w:rsidR="00311FA6" w:rsidRPr="009977FC" w:rsidRDefault="00311FA6" w:rsidP="0096505A">
      <w:pPr>
        <w:spacing w:line="144" w:lineRule="auto"/>
        <w:jc w:val="both"/>
        <w:rPr>
          <w:rFonts w:asciiTheme="minorHAnsi" w:hAnsiTheme="minorHAnsi" w:cstheme="minorHAnsi"/>
          <w:sz w:val="24"/>
        </w:rPr>
      </w:pPr>
    </w:p>
    <w:p w14:paraId="2D3FFF48" w14:textId="1E22EAD2"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la connaissance assistée et spontanée des publicités de l</w:t>
      </w:r>
      <w:r w:rsidR="00863EDF">
        <w:rPr>
          <w:rFonts w:asciiTheme="minorHAnsi" w:hAnsiTheme="minorHAnsi"/>
          <w:sz w:val="24"/>
          <w:szCs w:val="28"/>
        </w:rPr>
        <w:t>’</w:t>
      </w:r>
      <w:r>
        <w:rPr>
          <w:rFonts w:asciiTheme="minorHAnsi" w:hAnsiTheme="minorHAnsi"/>
          <w:sz w:val="24"/>
          <w:szCs w:val="28"/>
        </w:rPr>
        <w:t>Agence et de la publicité générale du gouvernement du Canada;</w:t>
      </w:r>
    </w:p>
    <w:p w14:paraId="789DC2EC"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la mémorisation du message;</w:t>
      </w:r>
    </w:p>
    <w:p w14:paraId="13EFC0A1"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si les publicités étaient accrocheuses, pertinentes, difficiles à suivre, si elles portaient sur un sujet important, fournissaient de nouveaux renseignements;</w:t>
      </w:r>
    </w:p>
    <w:p w14:paraId="589FC85B"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la connaissance assistée et spontanée du sujet;</w:t>
      </w:r>
    </w:p>
    <w:p w14:paraId="284686BA" w14:textId="4FF14480"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l</w:t>
      </w:r>
      <w:r w:rsidR="00863EDF">
        <w:rPr>
          <w:rFonts w:asciiTheme="minorHAnsi" w:hAnsiTheme="minorHAnsi"/>
          <w:sz w:val="24"/>
          <w:szCs w:val="28"/>
        </w:rPr>
        <w:t>’</w:t>
      </w:r>
      <w:r>
        <w:rPr>
          <w:rFonts w:asciiTheme="minorHAnsi" w:hAnsiTheme="minorHAnsi"/>
          <w:sz w:val="24"/>
          <w:szCs w:val="28"/>
        </w:rPr>
        <w:t>intention d</w:t>
      </w:r>
      <w:r w:rsidR="00863EDF">
        <w:rPr>
          <w:rFonts w:asciiTheme="minorHAnsi" w:hAnsiTheme="minorHAnsi"/>
          <w:sz w:val="24"/>
          <w:szCs w:val="28"/>
        </w:rPr>
        <w:t>’</w:t>
      </w:r>
      <w:r>
        <w:rPr>
          <w:rFonts w:asciiTheme="minorHAnsi" w:hAnsiTheme="minorHAnsi"/>
          <w:sz w:val="24"/>
          <w:szCs w:val="28"/>
        </w:rPr>
        <w:t>agir.</w:t>
      </w:r>
    </w:p>
    <w:p w14:paraId="34AB4C70" w14:textId="77777777" w:rsidR="00311FA6" w:rsidRPr="009977FC" w:rsidRDefault="00311FA6" w:rsidP="0096505A">
      <w:pPr>
        <w:spacing w:line="276" w:lineRule="auto"/>
        <w:rPr>
          <w:rFonts w:asciiTheme="minorHAnsi" w:hAnsiTheme="minorHAnsi" w:cstheme="minorHAnsi"/>
          <w:szCs w:val="22"/>
          <w:highlight w:val="yellow"/>
        </w:rPr>
      </w:pPr>
    </w:p>
    <w:p w14:paraId="5D135AAD" w14:textId="77777777" w:rsidR="00311FA6" w:rsidRPr="009977FC" w:rsidRDefault="0096505A" w:rsidP="0096505A">
      <w:pPr>
        <w:pStyle w:val="Heading1"/>
        <w:spacing w:line="276" w:lineRule="auto"/>
        <w:rPr>
          <w:rFonts w:asciiTheme="minorHAnsi" w:hAnsiTheme="minorHAnsi" w:cstheme="minorHAnsi"/>
          <w:b w:val="0"/>
          <w:sz w:val="28"/>
        </w:rPr>
      </w:pPr>
      <w:bookmarkStart w:id="5" w:name="_Toc111128285"/>
      <w:r>
        <w:rPr>
          <w:rFonts w:asciiTheme="minorHAnsi" w:hAnsiTheme="minorHAnsi"/>
          <w:b w:val="0"/>
          <w:sz w:val="28"/>
        </w:rPr>
        <w:t>Population cible</w:t>
      </w:r>
      <w:bookmarkEnd w:id="5"/>
    </w:p>
    <w:p w14:paraId="4A8A7FA8" w14:textId="77777777" w:rsidR="00311FA6" w:rsidRPr="009977FC" w:rsidRDefault="00311FA6" w:rsidP="0096505A">
      <w:pPr>
        <w:pStyle w:val="BodyText"/>
        <w:spacing w:after="0" w:line="276" w:lineRule="auto"/>
        <w:rPr>
          <w:rFonts w:asciiTheme="minorHAnsi" w:hAnsiTheme="minorHAnsi" w:cstheme="minorHAnsi"/>
          <w:sz w:val="24"/>
          <w:highlight w:val="yellow"/>
        </w:rPr>
      </w:pPr>
    </w:p>
    <w:p w14:paraId="228BB6E5" w14:textId="7ACF78B7"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Tel qu</w:t>
      </w:r>
      <w:r w:rsidR="00863EDF">
        <w:rPr>
          <w:rFonts w:asciiTheme="minorHAnsi" w:hAnsiTheme="minorHAnsi"/>
          <w:sz w:val="24"/>
          <w:szCs w:val="28"/>
        </w:rPr>
        <w:t>’</w:t>
      </w:r>
      <w:r>
        <w:rPr>
          <w:rFonts w:asciiTheme="minorHAnsi" w:hAnsiTheme="minorHAnsi"/>
          <w:sz w:val="24"/>
          <w:szCs w:val="28"/>
        </w:rPr>
        <w:t>il est précisé dans l</w:t>
      </w:r>
      <w:r w:rsidR="00863EDF">
        <w:rPr>
          <w:rFonts w:asciiTheme="minorHAnsi" w:hAnsiTheme="minorHAnsi"/>
          <w:sz w:val="24"/>
          <w:szCs w:val="28"/>
        </w:rPr>
        <w:t>’</w:t>
      </w:r>
      <w:r>
        <w:rPr>
          <w:rFonts w:asciiTheme="minorHAnsi" w:hAnsiTheme="minorHAnsi"/>
          <w:sz w:val="24"/>
          <w:szCs w:val="28"/>
        </w:rPr>
        <w:t>énoncé des travaux,</w:t>
      </w:r>
      <w:r>
        <w:rPr>
          <w:rFonts w:asciiTheme="minorHAnsi" w:hAnsiTheme="minorHAnsi"/>
          <w:color w:val="000000"/>
          <w:sz w:val="24"/>
          <w:szCs w:val="28"/>
        </w:rPr>
        <w:t xml:space="preserve"> le public cible de la campagne 2021-2022 de l</w:t>
      </w:r>
      <w:r w:rsidR="00863EDF">
        <w:rPr>
          <w:rFonts w:asciiTheme="minorHAnsi" w:hAnsiTheme="minorHAnsi"/>
          <w:color w:val="000000"/>
          <w:sz w:val="24"/>
          <w:szCs w:val="28"/>
        </w:rPr>
        <w:t>’</w:t>
      </w:r>
      <w:r>
        <w:rPr>
          <w:rFonts w:asciiTheme="minorHAnsi" w:hAnsiTheme="minorHAnsi"/>
          <w:color w:val="000000"/>
          <w:sz w:val="24"/>
          <w:szCs w:val="28"/>
        </w:rPr>
        <w:t xml:space="preserve">Agence sur les arnaques est composée de Canadiens âgés de 18 ans ou plus. Le projet a également établi des quotas pour des groupes précis : les nouveaux arrivants au Canada, les aînés (âgés de 60 ans et plus) et les jeunes (âgés de 18 à 34 ans). </w:t>
      </w:r>
      <w:r>
        <w:rPr>
          <w:rFonts w:asciiTheme="minorHAnsi" w:hAnsiTheme="minorHAnsi"/>
          <w:sz w:val="24"/>
          <w:szCs w:val="28"/>
        </w:rPr>
        <w:t>Les données pour le sondage suivant la campagne ont été recueillies à partir d</w:t>
      </w:r>
      <w:r w:rsidR="00863EDF">
        <w:rPr>
          <w:rFonts w:asciiTheme="minorHAnsi" w:hAnsiTheme="minorHAnsi"/>
          <w:sz w:val="24"/>
          <w:szCs w:val="28"/>
        </w:rPr>
        <w:t>’</w:t>
      </w:r>
      <w:r>
        <w:rPr>
          <w:rFonts w:asciiTheme="minorHAnsi" w:hAnsiTheme="minorHAnsi"/>
          <w:sz w:val="24"/>
          <w:szCs w:val="28"/>
        </w:rPr>
        <w:t>un public cible du grand public qui modélise les données démographiques clés des Canadiens de divers segments d</w:t>
      </w:r>
      <w:r w:rsidR="00863EDF">
        <w:rPr>
          <w:rFonts w:asciiTheme="minorHAnsi" w:hAnsiTheme="minorHAnsi"/>
          <w:sz w:val="24"/>
          <w:szCs w:val="28"/>
        </w:rPr>
        <w:t>’</w:t>
      </w:r>
      <w:r>
        <w:rPr>
          <w:rFonts w:asciiTheme="minorHAnsi" w:hAnsiTheme="minorHAnsi"/>
          <w:sz w:val="24"/>
          <w:szCs w:val="28"/>
        </w:rPr>
        <w:t xml:space="preserve">âge (18 à 34 ans, 35 à 59 ans et 60 ans ou plus). </w:t>
      </w:r>
    </w:p>
    <w:p w14:paraId="64F439E5" w14:textId="77777777" w:rsidR="00311FA6" w:rsidRPr="009977FC" w:rsidRDefault="00311FA6" w:rsidP="0096505A">
      <w:pPr>
        <w:spacing w:line="276" w:lineRule="auto"/>
        <w:rPr>
          <w:rFonts w:asciiTheme="minorHAnsi" w:hAnsiTheme="minorHAnsi" w:cstheme="minorHAnsi"/>
          <w:bCs/>
          <w:sz w:val="24"/>
          <w:szCs w:val="28"/>
        </w:rPr>
      </w:pPr>
    </w:p>
    <w:p w14:paraId="14F53E3E" w14:textId="77777777" w:rsidR="00311FA6" w:rsidRPr="009977FC" w:rsidRDefault="0096505A" w:rsidP="0096505A">
      <w:pPr>
        <w:spacing w:line="276" w:lineRule="auto"/>
        <w:rPr>
          <w:rFonts w:asciiTheme="minorHAnsi" w:hAnsiTheme="minorHAnsi" w:cstheme="minorHAnsi"/>
          <w:bCs/>
          <w:sz w:val="24"/>
          <w:szCs w:val="28"/>
        </w:rPr>
      </w:pPr>
      <w:r>
        <w:rPr>
          <w:rFonts w:asciiTheme="minorHAnsi" w:hAnsiTheme="minorHAnsi"/>
          <w:bCs/>
          <w:sz w:val="24"/>
          <w:szCs w:val="28"/>
        </w:rPr>
        <w:t xml:space="preserve">Ce sondage en ligne mené après la campagne auprès du grand public canadien âgé de 18 ans et plus a été entrepris du 7 au 15 mars 2022. Il a fallu environ sept minutes en moyenne pour administrer les versions en français et en anglais. Au total, 2 002 sondages utilisables ont été réalisés au cours de la phase suivant la campagne. </w:t>
      </w:r>
    </w:p>
    <w:p w14:paraId="1F619FCD" w14:textId="77777777" w:rsidR="00311FA6" w:rsidRPr="009977FC" w:rsidRDefault="00311FA6" w:rsidP="0096505A">
      <w:pPr>
        <w:spacing w:line="276" w:lineRule="auto"/>
        <w:rPr>
          <w:rFonts w:asciiTheme="minorHAnsi" w:hAnsiTheme="minorHAnsi" w:cstheme="minorHAnsi"/>
          <w:bCs/>
          <w:sz w:val="24"/>
          <w:szCs w:val="28"/>
        </w:rPr>
      </w:pPr>
    </w:p>
    <w:p w14:paraId="43E4A64F" w14:textId="216A1890" w:rsidR="00311FA6" w:rsidRPr="009977FC" w:rsidRDefault="0096505A" w:rsidP="0096505A">
      <w:pPr>
        <w:spacing w:line="276" w:lineRule="auto"/>
        <w:rPr>
          <w:rFonts w:asciiTheme="minorHAnsi" w:hAnsiTheme="minorHAnsi" w:cstheme="minorHAnsi"/>
          <w:bCs/>
          <w:sz w:val="24"/>
          <w:szCs w:val="28"/>
        </w:rPr>
      </w:pPr>
      <w:r>
        <w:rPr>
          <w:rFonts w:asciiTheme="minorHAnsi" w:hAnsiTheme="minorHAnsi"/>
          <w:bCs/>
          <w:sz w:val="24"/>
          <w:szCs w:val="28"/>
        </w:rPr>
        <w:t>Les dossiers de coordonnées d</w:t>
      </w:r>
      <w:r w:rsidR="00863EDF">
        <w:rPr>
          <w:rFonts w:asciiTheme="minorHAnsi" w:hAnsiTheme="minorHAnsi"/>
          <w:bCs/>
          <w:sz w:val="24"/>
          <w:szCs w:val="28"/>
        </w:rPr>
        <w:t>’</w:t>
      </w:r>
      <w:r>
        <w:rPr>
          <w:rFonts w:asciiTheme="minorHAnsi" w:hAnsiTheme="minorHAnsi"/>
          <w:bCs/>
          <w:sz w:val="24"/>
          <w:szCs w:val="28"/>
        </w:rPr>
        <w:t>adresses électroniques pour cette recherche ont été obtenus des membres du panel administré par The Logit Group of Toronto, en Ontario. Étant donné que cette méthode de sondage en ligne a eu recours à un échantillon non probabiliste, les données recueillies ne peuvent pas être extrapolées à la population générale canadienne d</w:t>
      </w:r>
      <w:r w:rsidR="00863EDF">
        <w:rPr>
          <w:rFonts w:asciiTheme="minorHAnsi" w:hAnsiTheme="minorHAnsi"/>
          <w:bCs/>
          <w:sz w:val="24"/>
          <w:szCs w:val="28"/>
        </w:rPr>
        <w:t>’</w:t>
      </w:r>
      <w:r>
        <w:rPr>
          <w:rFonts w:asciiTheme="minorHAnsi" w:hAnsiTheme="minorHAnsi"/>
          <w:bCs/>
          <w:sz w:val="24"/>
          <w:szCs w:val="28"/>
        </w:rPr>
        <w:t>adultes.</w:t>
      </w:r>
    </w:p>
    <w:p w14:paraId="16253099" w14:textId="3B5BF8F2" w:rsidR="00311FA6" w:rsidRPr="009977FC" w:rsidRDefault="00311FA6" w:rsidP="0096505A">
      <w:pPr>
        <w:spacing w:line="276" w:lineRule="auto"/>
        <w:rPr>
          <w:rFonts w:asciiTheme="minorHAnsi" w:hAnsiTheme="minorHAnsi" w:cstheme="minorHAnsi"/>
        </w:rPr>
      </w:pPr>
    </w:p>
    <w:p w14:paraId="6AAB658C" w14:textId="77777777" w:rsidR="00311FA6" w:rsidRPr="009977FC" w:rsidRDefault="0096505A" w:rsidP="0096505A">
      <w:pPr>
        <w:pStyle w:val="Heading1"/>
        <w:spacing w:line="276" w:lineRule="auto"/>
        <w:rPr>
          <w:rFonts w:asciiTheme="minorHAnsi" w:hAnsiTheme="minorHAnsi" w:cstheme="minorHAnsi"/>
          <w:b w:val="0"/>
          <w:sz w:val="28"/>
        </w:rPr>
      </w:pPr>
      <w:bookmarkStart w:id="6" w:name="_Toc111128286"/>
      <w:r>
        <w:rPr>
          <w:rFonts w:asciiTheme="minorHAnsi" w:hAnsiTheme="minorHAnsi"/>
          <w:b w:val="0"/>
          <w:sz w:val="28"/>
        </w:rPr>
        <w:t>Utilisation de la recherche</w:t>
      </w:r>
      <w:bookmarkEnd w:id="6"/>
    </w:p>
    <w:p w14:paraId="4C639BE0" w14:textId="77777777" w:rsidR="00311FA6" w:rsidRPr="009977FC" w:rsidRDefault="00311FA6" w:rsidP="0096505A">
      <w:pPr>
        <w:spacing w:line="192" w:lineRule="auto"/>
        <w:rPr>
          <w:rFonts w:asciiTheme="minorHAnsi" w:hAnsiTheme="minorHAnsi" w:cstheme="minorHAnsi"/>
          <w:color w:val="23B2BE"/>
          <w:szCs w:val="22"/>
        </w:rPr>
      </w:pPr>
    </w:p>
    <w:p w14:paraId="0AA51D0F" w14:textId="1F471F83" w:rsidR="00311FA6" w:rsidRPr="009977FC" w:rsidRDefault="0096505A" w:rsidP="0096505A">
      <w:pPr>
        <w:pStyle w:val="BodyText"/>
        <w:spacing w:after="0" w:line="276" w:lineRule="auto"/>
        <w:rPr>
          <w:rFonts w:asciiTheme="minorHAnsi" w:hAnsiTheme="minorHAnsi" w:cstheme="minorHAnsi"/>
          <w:bCs/>
          <w:sz w:val="24"/>
          <w:szCs w:val="28"/>
        </w:rPr>
      </w:pPr>
      <w:r>
        <w:rPr>
          <w:rFonts w:asciiTheme="minorHAnsi" w:hAnsiTheme="minorHAnsi"/>
          <w:sz w:val="24"/>
          <w:szCs w:val="28"/>
        </w:rPr>
        <w:t>Comme il est indiqué dans l</w:t>
      </w:r>
      <w:r w:rsidR="00863EDF">
        <w:rPr>
          <w:rFonts w:asciiTheme="minorHAnsi" w:hAnsiTheme="minorHAnsi"/>
          <w:sz w:val="24"/>
          <w:szCs w:val="28"/>
        </w:rPr>
        <w:t>’</w:t>
      </w:r>
      <w:r>
        <w:rPr>
          <w:rFonts w:asciiTheme="minorHAnsi" w:hAnsiTheme="minorHAnsi"/>
          <w:sz w:val="24"/>
          <w:szCs w:val="28"/>
        </w:rPr>
        <w:t>énoncé des travaux du projet et les communications connexes, cette activité de recherche avant la campagne visait à mesurer la mémorisation du placement médiatique de la campagne 2021-2022 de l</w:t>
      </w:r>
      <w:r w:rsidR="00863EDF">
        <w:rPr>
          <w:rFonts w:asciiTheme="minorHAnsi" w:hAnsiTheme="minorHAnsi"/>
          <w:sz w:val="24"/>
          <w:szCs w:val="28"/>
        </w:rPr>
        <w:t>’</w:t>
      </w:r>
      <w:r>
        <w:rPr>
          <w:rFonts w:asciiTheme="minorHAnsi" w:hAnsiTheme="minorHAnsi"/>
          <w:sz w:val="24"/>
          <w:szCs w:val="28"/>
        </w:rPr>
        <w:t>Agence sur les arnaques. Les placements de la campagne étaient en ligne (télévision connectée, bannières et publicités vidéo, médias sociaux, moteurs de recherche) avant ce sondage suivant la campagne. Les résultats de cette étude doivent être utilisés par l</w:t>
      </w:r>
      <w:r w:rsidR="00863EDF">
        <w:rPr>
          <w:rFonts w:asciiTheme="minorHAnsi" w:hAnsiTheme="minorHAnsi"/>
          <w:sz w:val="24"/>
          <w:szCs w:val="28"/>
        </w:rPr>
        <w:t>’</w:t>
      </w:r>
      <w:r>
        <w:rPr>
          <w:rFonts w:asciiTheme="minorHAnsi" w:hAnsiTheme="minorHAnsi"/>
          <w:sz w:val="24"/>
          <w:szCs w:val="28"/>
        </w:rPr>
        <w:t>Agence pour évaluer la mémorisation de la campagne médiatique, l</w:t>
      </w:r>
      <w:r w:rsidR="00863EDF">
        <w:rPr>
          <w:rFonts w:asciiTheme="minorHAnsi" w:hAnsiTheme="minorHAnsi"/>
          <w:sz w:val="24"/>
          <w:szCs w:val="28"/>
        </w:rPr>
        <w:t>’</w:t>
      </w:r>
      <w:r>
        <w:rPr>
          <w:rFonts w:asciiTheme="minorHAnsi" w:hAnsiTheme="minorHAnsi"/>
          <w:sz w:val="24"/>
          <w:szCs w:val="28"/>
        </w:rPr>
        <w:t>efficacité du placement dans les médias et l</w:t>
      </w:r>
      <w:r w:rsidR="00863EDF">
        <w:rPr>
          <w:rFonts w:asciiTheme="minorHAnsi" w:hAnsiTheme="minorHAnsi"/>
          <w:sz w:val="24"/>
          <w:szCs w:val="28"/>
        </w:rPr>
        <w:t>’</w:t>
      </w:r>
      <w:r>
        <w:rPr>
          <w:rFonts w:asciiTheme="minorHAnsi" w:hAnsiTheme="minorHAnsi"/>
          <w:sz w:val="24"/>
          <w:szCs w:val="28"/>
        </w:rPr>
        <w:t xml:space="preserve">efficacité de la campagne. </w:t>
      </w:r>
      <w:r>
        <w:rPr>
          <w:rFonts w:asciiTheme="minorHAnsi" w:hAnsiTheme="minorHAnsi"/>
          <w:bCs/>
          <w:sz w:val="24"/>
          <w:szCs w:val="28"/>
        </w:rPr>
        <w:t>Étant donné que cette méthode de sondage en ligne a eu recours à un échantillon non probabiliste, les données recueillies ne peuvent pas être extrapolées à la population générale canadienne d</w:t>
      </w:r>
      <w:r w:rsidR="00863EDF">
        <w:rPr>
          <w:rFonts w:asciiTheme="minorHAnsi" w:hAnsiTheme="minorHAnsi"/>
          <w:bCs/>
          <w:sz w:val="24"/>
          <w:szCs w:val="28"/>
        </w:rPr>
        <w:t>’</w:t>
      </w:r>
      <w:r>
        <w:rPr>
          <w:rFonts w:asciiTheme="minorHAnsi" w:hAnsiTheme="minorHAnsi"/>
          <w:bCs/>
          <w:sz w:val="24"/>
          <w:szCs w:val="28"/>
        </w:rPr>
        <w:t xml:space="preserve">adultes. </w:t>
      </w:r>
    </w:p>
    <w:p w14:paraId="7B586C1D" w14:textId="77777777" w:rsidR="00311FA6" w:rsidRPr="009977FC" w:rsidRDefault="00311FA6" w:rsidP="0096505A">
      <w:pPr>
        <w:spacing w:line="192" w:lineRule="auto"/>
        <w:rPr>
          <w:rFonts w:asciiTheme="minorHAnsi" w:hAnsiTheme="minorHAnsi" w:cstheme="minorHAnsi"/>
          <w:color w:val="23B2BE"/>
          <w:szCs w:val="22"/>
        </w:rPr>
      </w:pPr>
    </w:p>
    <w:p w14:paraId="34958C1A" w14:textId="2416FC5E" w:rsidR="00311FA6" w:rsidRPr="009977FC" w:rsidRDefault="00927FDC" w:rsidP="00311FA6">
      <w:pPr>
        <w:pStyle w:val="Heading1"/>
        <w:spacing w:line="276" w:lineRule="auto"/>
        <w:rPr>
          <w:rFonts w:asciiTheme="minorHAnsi" w:hAnsiTheme="minorHAnsi" w:cstheme="minorHAnsi"/>
          <w:b w:val="0"/>
          <w:sz w:val="28"/>
        </w:rPr>
      </w:pPr>
      <w:bookmarkStart w:id="7" w:name="_Toc111128287"/>
      <w:r>
        <w:rPr>
          <w:rFonts w:asciiTheme="minorHAnsi" w:hAnsiTheme="minorHAnsi"/>
          <w:b w:val="0"/>
          <w:sz w:val="28"/>
        </w:rPr>
        <w:t>Dépense</w:t>
      </w:r>
      <w:bookmarkEnd w:id="7"/>
    </w:p>
    <w:p w14:paraId="682C9450" w14:textId="77777777" w:rsidR="00311FA6" w:rsidRPr="009977FC" w:rsidRDefault="00311FA6" w:rsidP="0096505A">
      <w:pPr>
        <w:spacing w:line="192" w:lineRule="auto"/>
        <w:rPr>
          <w:rFonts w:asciiTheme="minorHAnsi" w:hAnsiTheme="minorHAnsi" w:cstheme="minorHAnsi"/>
          <w:color w:val="23B2BE"/>
          <w:szCs w:val="22"/>
        </w:rPr>
      </w:pPr>
    </w:p>
    <w:p w14:paraId="4861E65C" w14:textId="77777777" w:rsidR="00311FA6" w:rsidRPr="009977FC" w:rsidRDefault="0096505A" w:rsidP="0096505A">
      <w:pPr>
        <w:spacing w:line="276" w:lineRule="auto"/>
        <w:rPr>
          <w:rFonts w:asciiTheme="minorHAnsi" w:hAnsiTheme="minorHAnsi" w:cstheme="minorHAnsi"/>
          <w:color w:val="000000"/>
          <w:sz w:val="24"/>
          <w:szCs w:val="28"/>
        </w:rPr>
      </w:pPr>
      <w:r>
        <w:rPr>
          <w:rFonts w:asciiTheme="minorHAnsi" w:hAnsiTheme="minorHAnsi"/>
          <w:color w:val="000000"/>
          <w:sz w:val="24"/>
        </w:rPr>
        <w:t>Les dépenses du projet</w:t>
      </w:r>
      <w:r>
        <w:rPr>
          <w:rFonts w:asciiTheme="minorHAnsi" w:hAnsiTheme="minorHAnsi"/>
          <w:sz w:val="24"/>
        </w:rPr>
        <w:t xml:space="preserve"> étaient de 23 272,35 $, y compris</w:t>
      </w:r>
      <w:r>
        <w:rPr>
          <w:rFonts w:asciiTheme="minorHAnsi" w:hAnsiTheme="minorHAnsi"/>
          <w:color w:val="000000"/>
          <w:sz w:val="24"/>
        </w:rPr>
        <w:t xml:space="preserve"> la TVH, pour les sondages précédant et suivant la campagne.</w:t>
      </w:r>
    </w:p>
    <w:p w14:paraId="6ECF292B" w14:textId="77777777" w:rsidR="00311FA6" w:rsidRPr="009977FC" w:rsidRDefault="00311FA6" w:rsidP="0096505A">
      <w:pPr>
        <w:spacing w:line="192" w:lineRule="auto"/>
        <w:rPr>
          <w:rFonts w:asciiTheme="minorHAnsi" w:hAnsiTheme="minorHAnsi" w:cstheme="minorHAnsi"/>
          <w:color w:val="23B2BE"/>
          <w:szCs w:val="22"/>
        </w:rPr>
      </w:pPr>
    </w:p>
    <w:p w14:paraId="58290570" w14:textId="66455AC8" w:rsidR="00311FA6" w:rsidRPr="009977FC" w:rsidRDefault="00927FDC" w:rsidP="00311FA6">
      <w:pPr>
        <w:pStyle w:val="Heading1"/>
        <w:spacing w:line="276" w:lineRule="auto"/>
        <w:rPr>
          <w:rFonts w:asciiTheme="minorHAnsi" w:hAnsiTheme="minorHAnsi" w:cstheme="minorHAnsi"/>
          <w:b w:val="0"/>
          <w:sz w:val="28"/>
        </w:rPr>
      </w:pPr>
      <w:bookmarkStart w:id="8" w:name="_Toc111128288"/>
      <w:r>
        <w:rPr>
          <w:rFonts w:asciiTheme="minorHAnsi" w:hAnsiTheme="minorHAnsi"/>
          <w:b w:val="0"/>
          <w:sz w:val="28"/>
        </w:rPr>
        <w:t>Consentement</w:t>
      </w:r>
      <w:bookmarkEnd w:id="8"/>
    </w:p>
    <w:p w14:paraId="38C273C1" w14:textId="77777777" w:rsidR="00311FA6" w:rsidRPr="009977FC" w:rsidRDefault="00311FA6" w:rsidP="0096505A">
      <w:pPr>
        <w:spacing w:line="192" w:lineRule="auto"/>
        <w:rPr>
          <w:rFonts w:asciiTheme="minorHAnsi" w:hAnsiTheme="minorHAnsi" w:cstheme="minorHAnsi"/>
          <w:color w:val="23B2BE"/>
          <w:szCs w:val="22"/>
        </w:rPr>
      </w:pPr>
    </w:p>
    <w:p w14:paraId="15582A8B" w14:textId="7759D0FD"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Narrative Research offre son consentement écrit permettant au bibliothécaire et archiviste du Canada d</w:t>
      </w:r>
      <w:r w:rsidR="00863EDF">
        <w:rPr>
          <w:rFonts w:asciiTheme="minorHAnsi" w:hAnsiTheme="minorHAnsi"/>
          <w:sz w:val="24"/>
          <w:szCs w:val="28"/>
        </w:rPr>
        <w:t>’</w:t>
      </w:r>
      <w:r>
        <w:rPr>
          <w:rFonts w:asciiTheme="minorHAnsi" w:hAnsiTheme="minorHAnsi"/>
          <w:sz w:val="24"/>
          <w:szCs w:val="28"/>
        </w:rPr>
        <w:t>afficher dans les deux langues officielles ce rapport méthodologique.</w:t>
      </w:r>
    </w:p>
    <w:p w14:paraId="7264E5D8" w14:textId="77777777" w:rsidR="00311FA6" w:rsidRPr="009977FC" w:rsidRDefault="00311FA6" w:rsidP="0096505A">
      <w:pPr>
        <w:spacing w:line="192" w:lineRule="auto"/>
        <w:rPr>
          <w:rFonts w:asciiTheme="minorHAnsi" w:hAnsiTheme="minorHAnsi" w:cstheme="minorHAnsi"/>
          <w:color w:val="23B2BE"/>
          <w:szCs w:val="22"/>
        </w:rPr>
      </w:pPr>
    </w:p>
    <w:p w14:paraId="4AEACAA0" w14:textId="77777777" w:rsidR="0090343C" w:rsidRDefault="0090343C">
      <w:pPr>
        <w:rPr>
          <w:rFonts w:asciiTheme="minorHAnsi" w:hAnsiTheme="minorHAnsi"/>
          <w:color w:val="23B2BE"/>
          <w:sz w:val="28"/>
          <w:szCs w:val="28"/>
        </w:rPr>
      </w:pPr>
      <w:r>
        <w:rPr>
          <w:rFonts w:asciiTheme="minorHAnsi" w:hAnsiTheme="minorHAnsi"/>
          <w:color w:val="23B2BE"/>
          <w:sz w:val="28"/>
          <w:szCs w:val="28"/>
        </w:rPr>
        <w:br w:type="page"/>
      </w:r>
    </w:p>
    <w:p w14:paraId="5C2CD5DA" w14:textId="14A64D29" w:rsidR="00311FA6" w:rsidRPr="009977FC" w:rsidRDefault="0096505A" w:rsidP="0096505A">
      <w:pPr>
        <w:spacing w:line="276" w:lineRule="auto"/>
        <w:rPr>
          <w:rFonts w:asciiTheme="minorHAnsi" w:hAnsiTheme="minorHAnsi" w:cstheme="minorHAnsi"/>
          <w:color w:val="23B2BE"/>
          <w:sz w:val="28"/>
          <w:szCs w:val="28"/>
        </w:rPr>
      </w:pPr>
      <w:r>
        <w:rPr>
          <w:rFonts w:asciiTheme="minorHAnsi" w:hAnsiTheme="minorHAnsi"/>
          <w:color w:val="23B2BE"/>
          <w:sz w:val="28"/>
          <w:szCs w:val="28"/>
        </w:rPr>
        <w:t xml:space="preserve">Énoncé concernant la neutralité politique et coordonnées de la personne-ressource </w:t>
      </w:r>
    </w:p>
    <w:p w14:paraId="3F1500A2" w14:textId="77777777" w:rsidR="00311FA6" w:rsidRPr="009977FC" w:rsidRDefault="00311FA6" w:rsidP="0096505A">
      <w:pPr>
        <w:spacing w:line="192" w:lineRule="auto"/>
        <w:rPr>
          <w:rFonts w:asciiTheme="minorHAnsi" w:hAnsiTheme="minorHAnsi" w:cstheme="minorHAnsi"/>
          <w:color w:val="23B2BE"/>
          <w:szCs w:val="22"/>
        </w:rPr>
      </w:pPr>
    </w:p>
    <w:p w14:paraId="046DA621" w14:textId="143E5A19" w:rsidR="00311FA6" w:rsidRPr="0090343C" w:rsidRDefault="00311FA6" w:rsidP="00311FA6">
      <w:pPr>
        <w:spacing w:line="276" w:lineRule="auto"/>
        <w:rPr>
          <w:rFonts w:asciiTheme="minorHAnsi" w:hAnsiTheme="minorHAnsi" w:cstheme="minorHAnsi"/>
          <w:bCs/>
          <w:sz w:val="24"/>
        </w:rPr>
      </w:pPr>
      <w:r w:rsidRPr="0090343C">
        <w:rPr>
          <w:rFonts w:asciiTheme="minorHAnsi" w:hAnsiTheme="minorHAnsi"/>
          <w:bCs/>
          <w:sz w:val="24"/>
          <w:szCs w:val="28"/>
        </w:rPr>
        <w:t>J</w:t>
      </w:r>
      <w:r w:rsidR="00863EDF" w:rsidRPr="0090343C">
        <w:rPr>
          <w:rFonts w:asciiTheme="minorHAnsi" w:hAnsiTheme="minorHAnsi"/>
          <w:bCs/>
          <w:sz w:val="24"/>
          <w:szCs w:val="28"/>
        </w:rPr>
        <w:t>’</w:t>
      </w:r>
      <w:r w:rsidRPr="0090343C">
        <w:rPr>
          <w:rFonts w:asciiTheme="minorHAnsi" w:hAnsiTheme="minorHAnsi"/>
          <w:bCs/>
          <w:sz w:val="24"/>
          <w:szCs w:val="28"/>
        </w:rPr>
        <w:t>atteste, par la présente, à titre d</w:t>
      </w:r>
      <w:r w:rsidR="00863EDF" w:rsidRPr="0090343C">
        <w:rPr>
          <w:rFonts w:asciiTheme="minorHAnsi" w:hAnsiTheme="minorHAnsi"/>
          <w:bCs/>
          <w:sz w:val="24"/>
          <w:szCs w:val="28"/>
        </w:rPr>
        <w:t>’</w:t>
      </w:r>
      <w:r w:rsidRPr="0090343C">
        <w:rPr>
          <w:rFonts w:asciiTheme="minorHAnsi" w:hAnsiTheme="minorHAnsi"/>
          <w:bCs/>
          <w:sz w:val="24"/>
          <w:szCs w:val="28"/>
        </w:rPr>
        <w:t xml:space="preserve">agent principal de </w:t>
      </w:r>
      <w:r w:rsidRPr="0090343C">
        <w:rPr>
          <w:rFonts w:asciiTheme="minorHAnsi" w:hAnsiTheme="minorHAnsi"/>
          <w:bCs/>
          <w:sz w:val="24"/>
        </w:rPr>
        <w:t>Narrative Research</w:t>
      </w:r>
      <w:r w:rsidRPr="0090343C">
        <w:rPr>
          <w:rFonts w:asciiTheme="minorHAnsi" w:hAnsiTheme="minorHAnsi"/>
          <w:bCs/>
          <w:sz w:val="24"/>
          <w:szCs w:val="28"/>
        </w:rPr>
        <w:t>, que les produits livrables se conforment entièrement aux exigences en matière de neutralité politique du gouvernement du Canada énoncées dans la Politique de communication du gouvernement du Canada et dans la Procédure de planification et d</w:t>
      </w:r>
      <w:r w:rsidR="00863EDF" w:rsidRPr="0090343C">
        <w:rPr>
          <w:rFonts w:asciiTheme="minorHAnsi" w:hAnsiTheme="minorHAnsi"/>
          <w:bCs/>
          <w:sz w:val="24"/>
          <w:szCs w:val="28"/>
        </w:rPr>
        <w:t>’</w:t>
      </w:r>
      <w:r w:rsidRPr="0090343C">
        <w:rPr>
          <w:rFonts w:asciiTheme="minorHAnsi" w:hAnsiTheme="minorHAnsi"/>
          <w:bCs/>
          <w:sz w:val="24"/>
          <w:szCs w:val="28"/>
        </w:rPr>
        <w:t>attribution de marchés de services de recherche sur l</w:t>
      </w:r>
      <w:r w:rsidR="00863EDF" w:rsidRPr="0090343C">
        <w:rPr>
          <w:rFonts w:asciiTheme="minorHAnsi" w:hAnsiTheme="minorHAnsi"/>
          <w:bCs/>
          <w:sz w:val="24"/>
          <w:szCs w:val="28"/>
        </w:rPr>
        <w:t>’</w:t>
      </w:r>
      <w:r w:rsidRPr="0090343C">
        <w:rPr>
          <w:rFonts w:asciiTheme="minorHAnsi" w:hAnsiTheme="minorHAnsi"/>
          <w:bCs/>
          <w:sz w:val="24"/>
          <w:szCs w:val="28"/>
        </w:rPr>
        <w:t>opinion publique. Plus précisément, les produits livrables ne comprennent pas d</w:t>
      </w:r>
      <w:r w:rsidR="00863EDF" w:rsidRPr="0090343C">
        <w:rPr>
          <w:rFonts w:asciiTheme="minorHAnsi" w:hAnsiTheme="minorHAnsi"/>
          <w:bCs/>
          <w:sz w:val="24"/>
          <w:szCs w:val="28"/>
        </w:rPr>
        <w:t>’</w:t>
      </w:r>
      <w:r w:rsidRPr="0090343C">
        <w:rPr>
          <w:rFonts w:asciiTheme="minorHAnsi" w:hAnsiTheme="minorHAnsi"/>
          <w:bCs/>
          <w:sz w:val="24"/>
          <w:szCs w:val="28"/>
        </w:rPr>
        <w:t>information sur les intentions de vote électoral, les préférences quant aux partis politiques, les positions des partis ou l</w:t>
      </w:r>
      <w:r w:rsidR="00863EDF" w:rsidRPr="0090343C">
        <w:rPr>
          <w:rFonts w:asciiTheme="minorHAnsi" w:hAnsiTheme="minorHAnsi"/>
          <w:bCs/>
          <w:sz w:val="24"/>
          <w:szCs w:val="28"/>
        </w:rPr>
        <w:t>’</w:t>
      </w:r>
      <w:r w:rsidRPr="0090343C">
        <w:rPr>
          <w:rFonts w:asciiTheme="minorHAnsi" w:hAnsiTheme="minorHAnsi"/>
          <w:bCs/>
          <w:sz w:val="24"/>
          <w:szCs w:val="28"/>
        </w:rPr>
        <w:t>évaluation de la performance d</w:t>
      </w:r>
      <w:r w:rsidR="00863EDF" w:rsidRPr="0090343C">
        <w:rPr>
          <w:rFonts w:asciiTheme="minorHAnsi" w:hAnsiTheme="minorHAnsi"/>
          <w:bCs/>
          <w:sz w:val="24"/>
          <w:szCs w:val="28"/>
        </w:rPr>
        <w:t>’</w:t>
      </w:r>
      <w:r w:rsidRPr="0090343C">
        <w:rPr>
          <w:rFonts w:asciiTheme="minorHAnsi" w:hAnsiTheme="minorHAnsi"/>
          <w:bCs/>
          <w:sz w:val="24"/>
          <w:szCs w:val="28"/>
        </w:rPr>
        <w:t>un parti politique ou de ses dirigeants.</w:t>
      </w:r>
    </w:p>
    <w:p w14:paraId="7D8AF9C1" w14:textId="77777777" w:rsidR="00311FA6" w:rsidRPr="009977FC" w:rsidRDefault="00311FA6" w:rsidP="0096505A">
      <w:pPr>
        <w:spacing w:line="276" w:lineRule="auto"/>
        <w:rPr>
          <w:rFonts w:asciiTheme="minorHAnsi" w:hAnsiTheme="minorHAnsi" w:cstheme="minorHAnsi"/>
          <w:bCs/>
          <w:color w:val="800080"/>
          <w:szCs w:val="22"/>
        </w:rPr>
      </w:pPr>
    </w:p>
    <w:p w14:paraId="25904F46" w14:textId="77777777" w:rsidR="00311FA6" w:rsidRPr="009977FC" w:rsidRDefault="0096505A" w:rsidP="0096505A">
      <w:pPr>
        <w:spacing w:line="276" w:lineRule="auto"/>
        <w:rPr>
          <w:rFonts w:asciiTheme="minorHAnsi" w:hAnsiTheme="minorHAnsi" w:cstheme="minorHAnsi"/>
          <w:bCs/>
          <w:color w:val="800080"/>
          <w:szCs w:val="22"/>
        </w:rPr>
      </w:pPr>
      <w:r>
        <w:rPr>
          <w:rFonts w:asciiTheme="minorHAnsi" w:hAnsiTheme="minorHAnsi"/>
          <w:noProof/>
          <w:color w:val="800080"/>
        </w:rPr>
        <w:drawing>
          <wp:inline distT="0" distB="0" distL="0" distR="0" wp14:anchorId="4B47B73F" wp14:editId="194DD7C9">
            <wp:extent cx="1628775" cy="428625"/>
            <wp:effectExtent l="0" t="0" r="9525" b="9525"/>
            <wp:docPr id="28" name="Picture 28" descr="Peter MacInt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2C3E05B3" w14:textId="77777777" w:rsidR="00311FA6" w:rsidRPr="009977FC" w:rsidRDefault="00311FA6" w:rsidP="0096505A">
      <w:pPr>
        <w:spacing w:line="276" w:lineRule="auto"/>
        <w:rPr>
          <w:rFonts w:asciiTheme="minorHAnsi" w:hAnsiTheme="minorHAnsi" w:cstheme="minorHAnsi"/>
          <w:bCs/>
          <w:color w:val="800080"/>
          <w:szCs w:val="22"/>
        </w:rPr>
      </w:pPr>
    </w:p>
    <w:p w14:paraId="1BD352B9" w14:textId="77777777" w:rsidR="00311FA6" w:rsidRPr="0090343C" w:rsidRDefault="0096505A" w:rsidP="0096505A">
      <w:pPr>
        <w:spacing w:line="276" w:lineRule="auto"/>
        <w:rPr>
          <w:rFonts w:asciiTheme="minorHAnsi" w:hAnsiTheme="minorHAnsi" w:cstheme="minorHAnsi"/>
          <w:bCs/>
          <w:sz w:val="24"/>
        </w:rPr>
      </w:pPr>
      <w:r w:rsidRPr="0090343C">
        <w:rPr>
          <w:rFonts w:asciiTheme="minorHAnsi" w:hAnsiTheme="minorHAnsi"/>
          <w:bCs/>
          <w:sz w:val="24"/>
        </w:rPr>
        <w:t xml:space="preserve">Peter MacIntosh </w:t>
      </w:r>
    </w:p>
    <w:p w14:paraId="03E92286" w14:textId="77777777" w:rsidR="00311FA6" w:rsidRPr="0090343C" w:rsidRDefault="0096505A" w:rsidP="0096505A">
      <w:pPr>
        <w:spacing w:line="276" w:lineRule="auto"/>
        <w:rPr>
          <w:rFonts w:asciiTheme="minorHAnsi" w:hAnsiTheme="minorHAnsi" w:cstheme="minorHAnsi"/>
          <w:bCs/>
          <w:sz w:val="24"/>
        </w:rPr>
      </w:pPr>
      <w:r w:rsidRPr="0090343C">
        <w:rPr>
          <w:rFonts w:asciiTheme="minorHAnsi" w:hAnsiTheme="minorHAnsi"/>
          <w:bCs/>
          <w:sz w:val="24"/>
        </w:rPr>
        <w:t>Dirigeant principal de la recherche et partenaire</w:t>
      </w:r>
    </w:p>
    <w:p w14:paraId="64214F8F" w14:textId="77777777" w:rsidR="00311FA6" w:rsidRPr="0090343C" w:rsidRDefault="0096505A" w:rsidP="0096505A">
      <w:pPr>
        <w:spacing w:line="276" w:lineRule="auto"/>
        <w:rPr>
          <w:rFonts w:asciiTheme="minorHAnsi" w:hAnsiTheme="minorHAnsi" w:cstheme="minorHAnsi"/>
          <w:bCs/>
          <w:sz w:val="24"/>
        </w:rPr>
      </w:pPr>
      <w:r w:rsidRPr="0090343C">
        <w:rPr>
          <w:rFonts w:asciiTheme="minorHAnsi" w:hAnsiTheme="minorHAnsi"/>
          <w:bCs/>
          <w:sz w:val="24"/>
        </w:rPr>
        <w:t>Narrative Research</w:t>
      </w:r>
    </w:p>
    <w:p w14:paraId="6814C298" w14:textId="11B62B42" w:rsidR="0090343C" w:rsidRPr="009054DB" w:rsidRDefault="001B19DB" w:rsidP="0090343C">
      <w:pPr>
        <w:spacing w:line="276" w:lineRule="auto"/>
        <w:rPr>
          <w:rFonts w:asciiTheme="minorHAnsi" w:hAnsiTheme="minorHAnsi" w:cstheme="minorHAnsi"/>
          <w:bCs/>
          <w:sz w:val="24"/>
        </w:rPr>
      </w:pPr>
      <w:hyperlink r:id="rId13" w:history="1">
        <w:r w:rsidR="0090343C" w:rsidRPr="0090343C">
          <w:rPr>
            <w:rStyle w:val="Hyperlink"/>
            <w:rFonts w:asciiTheme="minorHAnsi" w:hAnsiTheme="minorHAnsi" w:cstheme="minorHAnsi"/>
            <w:bCs/>
            <w:sz w:val="24"/>
          </w:rPr>
          <w:t>pmacintosh@narrativeresearch.ca</w:t>
        </w:r>
      </w:hyperlink>
    </w:p>
    <w:p w14:paraId="7A968A80" w14:textId="77777777" w:rsidR="00311FA6" w:rsidRPr="0090343C" w:rsidRDefault="0096505A" w:rsidP="0096505A">
      <w:pPr>
        <w:spacing w:line="276" w:lineRule="auto"/>
        <w:rPr>
          <w:rFonts w:asciiTheme="minorHAnsi" w:hAnsiTheme="minorHAnsi" w:cstheme="minorHAnsi"/>
          <w:bCs/>
          <w:sz w:val="24"/>
        </w:rPr>
      </w:pPr>
      <w:r w:rsidRPr="0090343C">
        <w:rPr>
          <w:rFonts w:asciiTheme="minorHAnsi" w:hAnsiTheme="minorHAnsi"/>
          <w:bCs/>
          <w:sz w:val="24"/>
        </w:rPr>
        <w:t>902-493-3832</w:t>
      </w:r>
    </w:p>
    <w:p w14:paraId="7C4C51BF" w14:textId="77777777" w:rsidR="00311FA6" w:rsidRPr="009977FC" w:rsidRDefault="00311FA6" w:rsidP="0096505A">
      <w:pPr>
        <w:spacing w:line="276" w:lineRule="auto"/>
        <w:rPr>
          <w:rFonts w:asciiTheme="minorHAnsi" w:hAnsiTheme="minorHAnsi" w:cstheme="minorHAnsi"/>
          <w:bCs/>
          <w:color w:val="800080"/>
          <w:sz w:val="24"/>
        </w:rPr>
      </w:pPr>
    </w:p>
    <w:p w14:paraId="16E91954" w14:textId="7C2AD799" w:rsidR="002C523D" w:rsidRDefault="002C523D">
      <w:pPr>
        <w:rPr>
          <w:rFonts w:asciiTheme="minorHAnsi" w:hAnsiTheme="minorHAnsi" w:cstheme="minorHAnsi"/>
          <w:bCs/>
          <w:sz w:val="24"/>
        </w:rPr>
      </w:pPr>
      <w:r>
        <w:rPr>
          <w:rFonts w:asciiTheme="minorHAnsi" w:hAnsiTheme="minorHAnsi" w:cstheme="minorHAnsi"/>
          <w:bCs/>
          <w:sz w:val="24"/>
        </w:rPr>
        <w:br w:type="page"/>
      </w:r>
    </w:p>
    <w:p w14:paraId="129DFE39" w14:textId="77777777" w:rsidR="00311FA6" w:rsidRPr="009977FC" w:rsidRDefault="00311FA6" w:rsidP="0096505A">
      <w:pPr>
        <w:spacing w:line="276" w:lineRule="auto"/>
        <w:rPr>
          <w:rFonts w:asciiTheme="minorHAnsi" w:hAnsiTheme="minorHAnsi" w:cstheme="minorHAnsi"/>
          <w:bCs/>
          <w:sz w:val="24"/>
        </w:rPr>
      </w:pPr>
    </w:p>
    <w:p w14:paraId="73891BB7" w14:textId="73FB58CB" w:rsidR="00311FA6" w:rsidRPr="009977FC" w:rsidRDefault="0096505A" w:rsidP="0096505A">
      <w:pPr>
        <w:pStyle w:val="Heading1"/>
        <w:spacing w:line="276" w:lineRule="auto"/>
        <w:rPr>
          <w:rFonts w:asciiTheme="minorHAnsi" w:hAnsiTheme="minorHAnsi" w:cstheme="minorHAnsi"/>
          <w:bCs/>
        </w:rPr>
      </w:pPr>
      <w:bookmarkStart w:id="9" w:name="_Toc111128289"/>
      <w:r>
        <w:rPr>
          <w:rFonts w:asciiTheme="minorHAnsi" w:hAnsiTheme="minorHAnsi"/>
          <w:bCs/>
        </w:rPr>
        <w:t>Méthodologie de l</w:t>
      </w:r>
      <w:r w:rsidR="00863EDF">
        <w:rPr>
          <w:rFonts w:asciiTheme="minorHAnsi" w:hAnsiTheme="minorHAnsi"/>
          <w:bCs/>
        </w:rPr>
        <w:t>’</w:t>
      </w:r>
      <w:r>
        <w:rPr>
          <w:rFonts w:asciiTheme="minorHAnsi" w:hAnsiTheme="minorHAnsi"/>
          <w:bCs/>
        </w:rPr>
        <w:t>étude</w:t>
      </w:r>
      <w:bookmarkEnd w:id="9"/>
    </w:p>
    <w:p w14:paraId="6DF91EE8" w14:textId="77777777" w:rsidR="00311FA6" w:rsidRPr="009977FC" w:rsidRDefault="00311FA6" w:rsidP="0096505A">
      <w:pPr>
        <w:spacing w:line="168" w:lineRule="auto"/>
        <w:rPr>
          <w:rFonts w:asciiTheme="minorHAnsi" w:hAnsiTheme="minorHAnsi" w:cstheme="minorHAnsi"/>
          <w:bCs/>
          <w:color w:val="000000"/>
          <w:highlight w:val="yellow"/>
        </w:rPr>
      </w:pPr>
    </w:p>
    <w:p w14:paraId="3889A635" w14:textId="5D7BA69C"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La présente évaluation a été menée à l</w:t>
      </w:r>
      <w:r w:rsidR="00863EDF">
        <w:rPr>
          <w:rFonts w:asciiTheme="minorHAnsi" w:hAnsiTheme="minorHAnsi"/>
          <w:sz w:val="24"/>
          <w:szCs w:val="28"/>
        </w:rPr>
        <w:t>’</w:t>
      </w:r>
      <w:r>
        <w:rPr>
          <w:rFonts w:asciiTheme="minorHAnsi" w:hAnsiTheme="minorHAnsi"/>
          <w:sz w:val="24"/>
          <w:szCs w:val="28"/>
        </w:rPr>
        <w:t>aide de l</w:t>
      </w:r>
      <w:r w:rsidR="00863EDF">
        <w:rPr>
          <w:rFonts w:asciiTheme="minorHAnsi" w:hAnsiTheme="minorHAnsi"/>
          <w:sz w:val="24"/>
          <w:szCs w:val="28"/>
        </w:rPr>
        <w:t>’</w:t>
      </w:r>
      <w:r>
        <w:rPr>
          <w:rFonts w:asciiTheme="minorHAnsi" w:hAnsiTheme="minorHAnsi"/>
          <w:sz w:val="24"/>
          <w:szCs w:val="28"/>
        </w:rPr>
        <w:t>OECP du gouvernement du Canada, et a été appliquée à un échantillon de la population canadienne adulte âgée de 18 ans ou plus. L</w:t>
      </w:r>
      <w:r w:rsidR="00863EDF">
        <w:rPr>
          <w:rFonts w:asciiTheme="minorHAnsi" w:hAnsiTheme="minorHAnsi"/>
          <w:sz w:val="24"/>
          <w:szCs w:val="28"/>
        </w:rPr>
        <w:t>’</w:t>
      </w:r>
      <w:r>
        <w:rPr>
          <w:rFonts w:asciiTheme="minorHAnsi" w:hAnsiTheme="minorHAnsi"/>
          <w:sz w:val="24"/>
          <w:szCs w:val="28"/>
        </w:rPr>
        <w:t>approche de collecte de données en ligne comprenait la collecte de données après la campagne publicitaire. La collecte de données a été effectuée entre</w:t>
      </w:r>
      <w:r>
        <w:rPr>
          <w:rFonts w:asciiTheme="minorHAnsi" w:hAnsiTheme="minorHAnsi"/>
          <w:bCs/>
          <w:color w:val="000000"/>
          <w:sz w:val="24"/>
          <w:szCs w:val="28"/>
        </w:rPr>
        <w:t xml:space="preserve"> 7 et 15 mars 2021</w:t>
      </w:r>
      <w:r>
        <w:rPr>
          <w:rFonts w:asciiTheme="minorHAnsi" w:hAnsiTheme="minorHAnsi"/>
          <w:sz w:val="24"/>
          <w:szCs w:val="28"/>
        </w:rPr>
        <w:t>. Lorsqu</w:t>
      </w:r>
      <w:r w:rsidR="00863EDF">
        <w:rPr>
          <w:rFonts w:asciiTheme="minorHAnsi" w:hAnsiTheme="minorHAnsi"/>
          <w:sz w:val="24"/>
          <w:szCs w:val="28"/>
        </w:rPr>
        <w:t>’</w:t>
      </w:r>
      <w:r>
        <w:rPr>
          <w:rFonts w:asciiTheme="minorHAnsi" w:hAnsiTheme="minorHAnsi"/>
          <w:sz w:val="24"/>
          <w:szCs w:val="28"/>
        </w:rPr>
        <w:t>elle est examinée conjointement avec les données recueillies dans la version de 2020-2021 de cette recherche, cette approche permet de comparer la sensibilisation et les opinions au fil du temps, par rapport à d</w:t>
      </w:r>
      <w:r w:rsidR="00863EDF">
        <w:rPr>
          <w:rFonts w:asciiTheme="minorHAnsi" w:hAnsiTheme="minorHAnsi"/>
          <w:sz w:val="24"/>
          <w:szCs w:val="28"/>
        </w:rPr>
        <w:t>’</w:t>
      </w:r>
      <w:r>
        <w:rPr>
          <w:rFonts w:asciiTheme="minorHAnsi" w:hAnsiTheme="minorHAnsi"/>
          <w:sz w:val="24"/>
          <w:szCs w:val="28"/>
        </w:rPr>
        <w:t xml:space="preserve">autres campagnes publicitaires commandées par le gouvernement du Canada. </w:t>
      </w:r>
    </w:p>
    <w:p w14:paraId="13BA19EC" w14:textId="77777777" w:rsidR="00311FA6" w:rsidRPr="009977FC" w:rsidRDefault="00311FA6" w:rsidP="0096505A">
      <w:pPr>
        <w:spacing w:line="168" w:lineRule="auto"/>
        <w:rPr>
          <w:rFonts w:asciiTheme="minorHAnsi" w:hAnsiTheme="minorHAnsi" w:cstheme="minorHAnsi"/>
          <w:bCs/>
          <w:color w:val="000000"/>
        </w:rPr>
      </w:pPr>
    </w:p>
    <w:p w14:paraId="6ED53E6D" w14:textId="77777777" w:rsidR="007A559C" w:rsidRPr="009977FC" w:rsidRDefault="007A559C" w:rsidP="007A559C">
      <w:pPr>
        <w:pStyle w:val="Heading1"/>
        <w:spacing w:line="276" w:lineRule="auto"/>
        <w:rPr>
          <w:rFonts w:asciiTheme="minorHAnsi" w:hAnsiTheme="minorHAnsi" w:cstheme="minorHAnsi"/>
          <w:b w:val="0"/>
          <w:sz w:val="28"/>
        </w:rPr>
      </w:pPr>
      <w:bookmarkStart w:id="10" w:name="_Toc111128290"/>
      <w:r>
        <w:rPr>
          <w:rFonts w:asciiTheme="minorHAnsi" w:hAnsiTheme="minorHAnsi"/>
          <w:b w:val="0"/>
          <w:sz w:val="28"/>
        </w:rPr>
        <w:t>Conception du questionnaire</w:t>
      </w:r>
      <w:bookmarkEnd w:id="10"/>
    </w:p>
    <w:p w14:paraId="0F79EB4D" w14:textId="77777777" w:rsidR="00311FA6" w:rsidRPr="009977FC" w:rsidRDefault="00311FA6" w:rsidP="0096505A">
      <w:pPr>
        <w:spacing w:line="168" w:lineRule="auto"/>
        <w:rPr>
          <w:rFonts w:asciiTheme="minorHAnsi" w:hAnsiTheme="minorHAnsi" w:cstheme="minorHAnsi"/>
          <w:bCs/>
          <w:color w:val="000000"/>
        </w:rPr>
      </w:pPr>
    </w:p>
    <w:p w14:paraId="0DC7B033" w14:textId="1E8BA83A" w:rsidR="00311FA6" w:rsidRPr="009977FC" w:rsidRDefault="0096505A" w:rsidP="0096505A">
      <w:pPr>
        <w:spacing w:line="276" w:lineRule="auto"/>
        <w:rPr>
          <w:rFonts w:asciiTheme="minorHAnsi" w:hAnsiTheme="minorHAnsi" w:cstheme="minorHAnsi"/>
          <w:bCs/>
          <w:color w:val="000000"/>
          <w:sz w:val="24"/>
          <w:szCs w:val="28"/>
        </w:rPr>
      </w:pPr>
      <w:r>
        <w:rPr>
          <w:rFonts w:asciiTheme="minorHAnsi" w:hAnsiTheme="minorHAnsi"/>
          <w:bCs/>
          <w:color w:val="000000"/>
          <w:sz w:val="24"/>
          <w:szCs w:val="28"/>
        </w:rPr>
        <w:t>Les questions posées dans le cadre de cette étude ont été fondées sur le questionnaire standard de</w:t>
      </w:r>
      <w:r>
        <w:rPr>
          <w:rFonts w:asciiTheme="minorHAnsi" w:hAnsiTheme="minorHAnsi"/>
          <w:sz w:val="24"/>
          <w:szCs w:val="28"/>
        </w:rPr>
        <w:t xml:space="preserve"> l</w:t>
      </w:r>
      <w:r w:rsidR="00863EDF">
        <w:rPr>
          <w:rFonts w:asciiTheme="minorHAnsi" w:hAnsiTheme="minorHAnsi"/>
          <w:sz w:val="24"/>
          <w:szCs w:val="28"/>
        </w:rPr>
        <w:t>’</w:t>
      </w:r>
      <w:r>
        <w:rPr>
          <w:rFonts w:asciiTheme="minorHAnsi" w:hAnsiTheme="minorHAnsi"/>
          <w:sz w:val="24"/>
          <w:szCs w:val="28"/>
        </w:rPr>
        <w:t>OECP du gouvernement du Canada.</w:t>
      </w:r>
      <w:r>
        <w:rPr>
          <w:rFonts w:asciiTheme="minorHAnsi" w:hAnsiTheme="minorHAnsi"/>
          <w:bCs/>
          <w:color w:val="000000"/>
          <w:sz w:val="24"/>
          <w:szCs w:val="28"/>
        </w:rPr>
        <w:t xml:space="preserve"> La principale différence entre le questionnaire du sondage en ligne de l</w:t>
      </w:r>
      <w:r w:rsidR="00863EDF">
        <w:rPr>
          <w:rFonts w:asciiTheme="minorHAnsi" w:hAnsiTheme="minorHAnsi"/>
          <w:bCs/>
          <w:color w:val="000000"/>
          <w:sz w:val="24"/>
          <w:szCs w:val="28"/>
        </w:rPr>
        <w:t>’</w:t>
      </w:r>
      <w:r>
        <w:rPr>
          <w:rFonts w:asciiTheme="minorHAnsi" w:hAnsiTheme="minorHAnsi"/>
          <w:bCs/>
          <w:color w:val="000000"/>
          <w:sz w:val="24"/>
          <w:szCs w:val="28"/>
        </w:rPr>
        <w:t>OECP et le questionnaire du sondage téléphonique de l</w:t>
      </w:r>
      <w:r w:rsidR="00863EDF">
        <w:rPr>
          <w:rFonts w:asciiTheme="minorHAnsi" w:hAnsiTheme="minorHAnsi"/>
          <w:bCs/>
          <w:color w:val="000000"/>
          <w:sz w:val="24"/>
          <w:szCs w:val="28"/>
        </w:rPr>
        <w:t>’</w:t>
      </w:r>
      <w:r>
        <w:rPr>
          <w:rFonts w:asciiTheme="minorHAnsi" w:hAnsiTheme="minorHAnsi"/>
          <w:bCs/>
          <w:color w:val="000000"/>
          <w:sz w:val="24"/>
          <w:szCs w:val="28"/>
        </w:rPr>
        <w:t>OECP précédemment utilisé était que dans le cadre de l</w:t>
      </w:r>
      <w:r w:rsidR="00863EDF">
        <w:rPr>
          <w:rFonts w:asciiTheme="minorHAnsi" w:hAnsiTheme="minorHAnsi"/>
          <w:bCs/>
          <w:color w:val="000000"/>
          <w:sz w:val="24"/>
          <w:szCs w:val="28"/>
        </w:rPr>
        <w:t>’</w:t>
      </w:r>
      <w:r>
        <w:rPr>
          <w:rFonts w:asciiTheme="minorHAnsi" w:hAnsiTheme="minorHAnsi"/>
          <w:bCs/>
          <w:color w:val="000000"/>
          <w:sz w:val="24"/>
          <w:szCs w:val="28"/>
        </w:rPr>
        <w:t>approche en ligne mise en œuvre dans la présente étude, on aidait les répondants au sondage à se rappeler des publicités en leur montrant des publicités à l</w:t>
      </w:r>
      <w:r w:rsidR="00863EDF">
        <w:rPr>
          <w:rFonts w:asciiTheme="minorHAnsi" w:hAnsiTheme="minorHAnsi"/>
          <w:bCs/>
          <w:color w:val="000000"/>
          <w:sz w:val="24"/>
          <w:szCs w:val="28"/>
        </w:rPr>
        <w:t>’</w:t>
      </w:r>
      <w:r>
        <w:rPr>
          <w:rFonts w:asciiTheme="minorHAnsi" w:hAnsiTheme="minorHAnsi"/>
          <w:bCs/>
          <w:color w:val="000000"/>
          <w:sz w:val="24"/>
          <w:szCs w:val="28"/>
        </w:rPr>
        <w:t>écran tirées de la récente campagne publicitaire de l</w:t>
      </w:r>
      <w:r w:rsidR="00863EDF">
        <w:rPr>
          <w:rFonts w:asciiTheme="minorHAnsi" w:hAnsiTheme="minorHAnsi"/>
          <w:bCs/>
          <w:color w:val="000000"/>
          <w:sz w:val="24"/>
          <w:szCs w:val="28"/>
        </w:rPr>
        <w:t>’</w:t>
      </w:r>
      <w:r>
        <w:rPr>
          <w:rFonts w:asciiTheme="minorHAnsi" w:hAnsiTheme="minorHAnsi"/>
          <w:bCs/>
          <w:color w:val="000000"/>
          <w:sz w:val="24"/>
          <w:szCs w:val="28"/>
        </w:rPr>
        <w:t>Agence. Au cours de cette phase après la campagne, les répondants ont reçu trois publicités - deux publicités vidéo et une publicité en ligne (GIF) tirées de la campagne, et on leur a ensuite posé une série de questions au sujet des publicités. Cette aide offerte aux répondants en leur montrant des publicités tirées de la campagne publicitaire est un processus qui est possible avec une méthode de sondage en ligne. Narrative Research a veillé à ce que les répondants soient en mesure de répondre au sondage sur diverses plateformes, notamment les ordinateurs, les tablettes ou les téléphones intelligents.</w:t>
      </w:r>
    </w:p>
    <w:p w14:paraId="40BF3D4A" w14:textId="77777777" w:rsidR="00311FA6" w:rsidRPr="009977FC" w:rsidRDefault="00311FA6" w:rsidP="0096505A">
      <w:pPr>
        <w:spacing w:line="168" w:lineRule="auto"/>
        <w:rPr>
          <w:rFonts w:asciiTheme="minorHAnsi" w:hAnsiTheme="minorHAnsi" w:cstheme="minorHAnsi"/>
          <w:bCs/>
          <w:color w:val="000000"/>
        </w:rPr>
      </w:pPr>
    </w:p>
    <w:p w14:paraId="0896AC4C" w14:textId="61F2438D" w:rsidR="00311FA6" w:rsidRPr="009977FC" w:rsidRDefault="0096505A" w:rsidP="0096505A">
      <w:pPr>
        <w:spacing w:line="276" w:lineRule="auto"/>
        <w:rPr>
          <w:rFonts w:asciiTheme="minorHAnsi" w:hAnsiTheme="minorHAnsi" w:cstheme="minorHAnsi"/>
          <w:bCs/>
          <w:color w:val="000000"/>
          <w:sz w:val="24"/>
          <w:szCs w:val="28"/>
        </w:rPr>
      </w:pPr>
      <w:r>
        <w:rPr>
          <w:rFonts w:asciiTheme="minorHAnsi" w:hAnsiTheme="minorHAnsi"/>
          <w:bCs/>
          <w:color w:val="000000"/>
          <w:sz w:val="24"/>
          <w:szCs w:val="28"/>
        </w:rPr>
        <w:t>Conformément aux normes du gouvernement du Canada, des essais préalables ont été menés en anglais et en français. De plus, les répondants devaient dire à la fin des essais préalables s</w:t>
      </w:r>
      <w:r w:rsidR="00863EDF">
        <w:rPr>
          <w:rFonts w:asciiTheme="minorHAnsi" w:hAnsiTheme="minorHAnsi"/>
          <w:bCs/>
          <w:color w:val="000000"/>
          <w:sz w:val="24"/>
          <w:szCs w:val="28"/>
        </w:rPr>
        <w:t>’</w:t>
      </w:r>
      <w:r>
        <w:rPr>
          <w:rFonts w:asciiTheme="minorHAnsi" w:hAnsiTheme="minorHAnsi"/>
          <w:bCs/>
          <w:color w:val="000000"/>
          <w:sz w:val="24"/>
          <w:szCs w:val="28"/>
        </w:rPr>
        <w:t>ils avaient trouvé certaines des questions ou des formulations des sondages difficiles à comprendre. Aucun répondant aux sondages-tests n</w:t>
      </w:r>
      <w:r w:rsidR="00863EDF">
        <w:rPr>
          <w:rFonts w:asciiTheme="minorHAnsi" w:hAnsiTheme="minorHAnsi"/>
          <w:bCs/>
          <w:color w:val="000000"/>
          <w:sz w:val="24"/>
          <w:szCs w:val="28"/>
        </w:rPr>
        <w:t>’</w:t>
      </w:r>
      <w:r>
        <w:rPr>
          <w:rFonts w:asciiTheme="minorHAnsi" w:hAnsiTheme="minorHAnsi"/>
          <w:bCs/>
          <w:color w:val="000000"/>
          <w:sz w:val="24"/>
          <w:szCs w:val="28"/>
        </w:rPr>
        <w:t>a indiqué qu</w:t>
      </w:r>
      <w:r w:rsidR="00863EDF">
        <w:rPr>
          <w:rFonts w:asciiTheme="minorHAnsi" w:hAnsiTheme="minorHAnsi"/>
          <w:bCs/>
          <w:color w:val="000000"/>
          <w:sz w:val="24"/>
          <w:szCs w:val="28"/>
        </w:rPr>
        <w:t>’</w:t>
      </w:r>
      <w:r>
        <w:rPr>
          <w:rFonts w:asciiTheme="minorHAnsi" w:hAnsiTheme="minorHAnsi"/>
          <w:bCs/>
          <w:color w:val="000000"/>
          <w:sz w:val="24"/>
          <w:szCs w:val="28"/>
        </w:rPr>
        <w:t>il était difficile de comprendre les questions des sondages de l</w:t>
      </w:r>
      <w:r w:rsidR="00863EDF">
        <w:rPr>
          <w:rFonts w:asciiTheme="minorHAnsi" w:hAnsiTheme="minorHAnsi"/>
          <w:bCs/>
          <w:color w:val="000000"/>
          <w:sz w:val="24"/>
          <w:szCs w:val="28"/>
        </w:rPr>
        <w:t>’</w:t>
      </w:r>
      <w:r>
        <w:rPr>
          <w:rFonts w:asciiTheme="minorHAnsi" w:hAnsiTheme="minorHAnsi"/>
          <w:bCs/>
          <w:color w:val="000000"/>
          <w:sz w:val="24"/>
          <w:szCs w:val="28"/>
        </w:rPr>
        <w:t>une ou l</w:t>
      </w:r>
      <w:r w:rsidR="00863EDF">
        <w:rPr>
          <w:rFonts w:asciiTheme="minorHAnsi" w:hAnsiTheme="minorHAnsi"/>
          <w:bCs/>
          <w:color w:val="000000"/>
          <w:sz w:val="24"/>
          <w:szCs w:val="28"/>
        </w:rPr>
        <w:t>’</w:t>
      </w:r>
      <w:r>
        <w:rPr>
          <w:rFonts w:asciiTheme="minorHAnsi" w:hAnsiTheme="minorHAnsi"/>
          <w:bCs/>
          <w:color w:val="000000"/>
          <w:sz w:val="24"/>
          <w:szCs w:val="28"/>
        </w:rPr>
        <w:t>autre des phases. Par conséquent, aucun répondant aux sondages-tests n</w:t>
      </w:r>
      <w:r w:rsidR="00863EDF">
        <w:rPr>
          <w:rFonts w:asciiTheme="minorHAnsi" w:hAnsiTheme="minorHAnsi"/>
          <w:bCs/>
          <w:color w:val="000000"/>
          <w:sz w:val="24"/>
          <w:szCs w:val="28"/>
        </w:rPr>
        <w:t>’</w:t>
      </w:r>
      <w:r>
        <w:rPr>
          <w:rFonts w:asciiTheme="minorHAnsi" w:hAnsiTheme="minorHAnsi"/>
          <w:bCs/>
          <w:color w:val="000000"/>
          <w:sz w:val="24"/>
          <w:szCs w:val="28"/>
        </w:rPr>
        <w:t xml:space="preserve">a été invité à désigner la ou les questions problématiques du point de vue de la compréhension. </w:t>
      </w:r>
    </w:p>
    <w:p w14:paraId="175C9EA0" w14:textId="77777777" w:rsidR="00311FA6" w:rsidRPr="009977FC" w:rsidRDefault="00311FA6" w:rsidP="0096505A">
      <w:pPr>
        <w:spacing w:line="168" w:lineRule="auto"/>
        <w:rPr>
          <w:rFonts w:asciiTheme="minorHAnsi" w:hAnsiTheme="minorHAnsi" w:cstheme="minorHAnsi"/>
          <w:bCs/>
          <w:color w:val="000000"/>
        </w:rPr>
      </w:pPr>
    </w:p>
    <w:p w14:paraId="1E845B2D" w14:textId="77777777" w:rsidR="002C523D" w:rsidRDefault="002C523D">
      <w:pPr>
        <w:rPr>
          <w:rFonts w:asciiTheme="minorHAnsi" w:eastAsiaTheme="majorEastAsia" w:hAnsiTheme="minorHAnsi" w:cstheme="majorBidi"/>
          <w:color w:val="23B2BE"/>
          <w:sz w:val="28"/>
          <w:szCs w:val="32"/>
        </w:rPr>
      </w:pPr>
      <w:bookmarkStart w:id="11" w:name="_Toc111128291"/>
      <w:r>
        <w:rPr>
          <w:rFonts w:asciiTheme="minorHAnsi" w:hAnsiTheme="minorHAnsi"/>
          <w:b/>
          <w:sz w:val="28"/>
        </w:rPr>
        <w:br w:type="page"/>
      </w:r>
    </w:p>
    <w:p w14:paraId="07E0FA50" w14:textId="5F5016B7" w:rsidR="00311FA6" w:rsidRPr="009977FC" w:rsidRDefault="0096505A" w:rsidP="0096505A">
      <w:pPr>
        <w:pStyle w:val="Heading1"/>
        <w:spacing w:line="276" w:lineRule="auto"/>
        <w:rPr>
          <w:rFonts w:asciiTheme="minorHAnsi" w:hAnsiTheme="minorHAnsi" w:cstheme="minorHAnsi"/>
          <w:b w:val="0"/>
          <w:sz w:val="28"/>
        </w:rPr>
      </w:pPr>
      <w:r>
        <w:rPr>
          <w:rFonts w:asciiTheme="minorHAnsi" w:hAnsiTheme="minorHAnsi"/>
          <w:b w:val="0"/>
          <w:sz w:val="28"/>
        </w:rPr>
        <w:t>Échantillonnage</w:t>
      </w:r>
      <w:bookmarkEnd w:id="11"/>
    </w:p>
    <w:p w14:paraId="5CEF8A41" w14:textId="77777777" w:rsidR="00311FA6" w:rsidRPr="009977FC" w:rsidRDefault="00311FA6" w:rsidP="0096505A">
      <w:pPr>
        <w:spacing w:line="168" w:lineRule="auto"/>
        <w:rPr>
          <w:rFonts w:asciiTheme="minorHAnsi" w:hAnsiTheme="minorHAnsi" w:cstheme="minorHAnsi"/>
          <w:bCs/>
          <w:color w:val="000000"/>
        </w:rPr>
      </w:pPr>
    </w:p>
    <w:p w14:paraId="168C87F7" w14:textId="00B4629E" w:rsidR="00311FA6" w:rsidRPr="009977FC" w:rsidRDefault="0096505A" w:rsidP="0096505A">
      <w:pPr>
        <w:spacing w:line="276" w:lineRule="auto"/>
        <w:ind w:right="-138"/>
        <w:rPr>
          <w:rFonts w:asciiTheme="minorHAnsi" w:hAnsiTheme="minorHAnsi" w:cstheme="minorHAnsi"/>
          <w:sz w:val="24"/>
          <w:szCs w:val="28"/>
        </w:rPr>
      </w:pPr>
      <w:r>
        <w:rPr>
          <w:rFonts w:asciiTheme="minorHAnsi" w:hAnsiTheme="minorHAnsi"/>
          <w:sz w:val="24"/>
          <w:szCs w:val="28"/>
        </w:rPr>
        <w:t>L</w:t>
      </w:r>
      <w:r w:rsidR="00863EDF">
        <w:rPr>
          <w:rFonts w:asciiTheme="minorHAnsi" w:hAnsiTheme="minorHAnsi"/>
          <w:sz w:val="24"/>
          <w:szCs w:val="28"/>
        </w:rPr>
        <w:t>’</w:t>
      </w:r>
      <w:r>
        <w:rPr>
          <w:rFonts w:asciiTheme="minorHAnsi" w:hAnsiTheme="minorHAnsi"/>
          <w:sz w:val="24"/>
          <w:szCs w:val="28"/>
        </w:rPr>
        <w:t>approche de sondage utilisée dans les deux phases a été conçue pour être administrée en ligne à un échantillon du grand public composé d</w:t>
      </w:r>
      <w:r w:rsidR="00863EDF">
        <w:rPr>
          <w:rFonts w:asciiTheme="minorHAnsi" w:hAnsiTheme="minorHAnsi"/>
          <w:sz w:val="24"/>
          <w:szCs w:val="28"/>
        </w:rPr>
        <w:t>’</w:t>
      </w:r>
      <w:r>
        <w:rPr>
          <w:rFonts w:asciiTheme="minorHAnsi" w:hAnsiTheme="minorHAnsi"/>
          <w:sz w:val="24"/>
          <w:szCs w:val="28"/>
        </w:rPr>
        <w:t>environ 2 000 adultes canadiens âgés de 18 ans ou plus. Narrative Research s</w:t>
      </w:r>
      <w:r w:rsidR="00863EDF">
        <w:rPr>
          <w:rFonts w:asciiTheme="minorHAnsi" w:hAnsiTheme="minorHAnsi"/>
          <w:sz w:val="24"/>
          <w:szCs w:val="28"/>
        </w:rPr>
        <w:t>’</w:t>
      </w:r>
      <w:r>
        <w:rPr>
          <w:rFonts w:asciiTheme="minorHAnsi" w:hAnsiTheme="minorHAnsi"/>
          <w:sz w:val="24"/>
          <w:szCs w:val="28"/>
        </w:rPr>
        <w:t>est assuré que les sondages recueillis reflétaient étroitement la population générale réelle du Canada en ce qui a trait au sexe et au groupe d</w:t>
      </w:r>
      <w:r w:rsidR="00863EDF">
        <w:rPr>
          <w:rFonts w:asciiTheme="minorHAnsi" w:hAnsiTheme="minorHAnsi"/>
          <w:sz w:val="24"/>
          <w:szCs w:val="28"/>
        </w:rPr>
        <w:t>’</w:t>
      </w:r>
      <w:r>
        <w:rPr>
          <w:rFonts w:asciiTheme="minorHAnsi" w:hAnsiTheme="minorHAnsi"/>
          <w:sz w:val="24"/>
          <w:szCs w:val="28"/>
        </w:rPr>
        <w:t>âge (divisé en 18-34 ans, 35-59 ans et 60 ans et plus), et par région, comme l</w:t>
      </w:r>
      <w:r w:rsidR="00863EDF">
        <w:rPr>
          <w:rFonts w:asciiTheme="minorHAnsi" w:hAnsiTheme="minorHAnsi"/>
          <w:sz w:val="24"/>
          <w:szCs w:val="28"/>
        </w:rPr>
        <w:t>’</w:t>
      </w:r>
      <w:r>
        <w:rPr>
          <w:rFonts w:asciiTheme="minorHAnsi" w:hAnsiTheme="minorHAnsi"/>
          <w:sz w:val="24"/>
          <w:szCs w:val="28"/>
        </w:rPr>
        <w:t>exige l</w:t>
      </w:r>
      <w:r w:rsidR="00863EDF">
        <w:rPr>
          <w:rFonts w:asciiTheme="minorHAnsi" w:hAnsiTheme="minorHAnsi"/>
          <w:sz w:val="24"/>
          <w:szCs w:val="28"/>
        </w:rPr>
        <w:t>’</w:t>
      </w:r>
      <w:r>
        <w:rPr>
          <w:rFonts w:asciiTheme="minorHAnsi" w:hAnsiTheme="minorHAnsi"/>
          <w:sz w:val="24"/>
          <w:szCs w:val="28"/>
        </w:rPr>
        <w:t xml:space="preserve">énoncé des travaux du projet. </w:t>
      </w:r>
    </w:p>
    <w:p w14:paraId="0E5A0E5F" w14:textId="77777777" w:rsidR="00311FA6" w:rsidRPr="009977FC" w:rsidRDefault="0096505A" w:rsidP="0096505A">
      <w:pPr>
        <w:spacing w:line="276" w:lineRule="auto"/>
        <w:ind w:right="-138"/>
        <w:rPr>
          <w:rFonts w:asciiTheme="minorHAnsi" w:hAnsiTheme="minorHAnsi" w:cstheme="minorHAnsi"/>
          <w:sz w:val="24"/>
          <w:szCs w:val="28"/>
        </w:rPr>
      </w:pPr>
      <w:r>
        <w:rPr>
          <w:rFonts w:asciiTheme="minorHAnsi" w:hAnsiTheme="minorHAnsi"/>
          <w:sz w:val="24"/>
          <w:szCs w:val="28"/>
        </w:rPr>
        <w:t>Une attention particulière a également été accordée à la question de savoir si les répondants étaient des immigrants au Canada afin de sonder au moins 100 immigrants récents (opérationnalisés comme ceux qui sont arrivés au Canada il y a moins de cinq ans) et à la question de savoir si les répondants étaient des aînés (un minimum de 200 sondages) ou des jeunes (un minimum de 200 sondages).</w:t>
      </w:r>
    </w:p>
    <w:p w14:paraId="2FE61221" w14:textId="77777777" w:rsidR="00311FA6" w:rsidRPr="009977FC" w:rsidRDefault="00311FA6" w:rsidP="0096505A">
      <w:pPr>
        <w:spacing w:line="276" w:lineRule="auto"/>
        <w:rPr>
          <w:rFonts w:asciiTheme="minorHAnsi" w:hAnsiTheme="minorHAnsi" w:cstheme="minorHAnsi"/>
          <w:sz w:val="24"/>
          <w:szCs w:val="28"/>
        </w:rPr>
      </w:pPr>
    </w:p>
    <w:p w14:paraId="752D0BCE" w14:textId="543BD764"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Plus précisément, pour assurer des échantillons fiables qui se rapprochent des véritables paramètres de la population pour l</w:t>
      </w:r>
      <w:r w:rsidR="00863EDF">
        <w:rPr>
          <w:rFonts w:asciiTheme="minorHAnsi" w:hAnsiTheme="minorHAnsi"/>
          <w:sz w:val="24"/>
          <w:szCs w:val="28"/>
        </w:rPr>
        <w:t>’</w:t>
      </w:r>
      <w:r>
        <w:rPr>
          <w:rFonts w:asciiTheme="minorHAnsi" w:hAnsiTheme="minorHAnsi"/>
          <w:sz w:val="24"/>
          <w:szCs w:val="28"/>
        </w:rPr>
        <w:t>âge (18-34 ans, 35-59 ans, 60 ans et plus), le sexe (homme/femme) et la région (Atlantique, Québec, Ontario, Prairies, Colombie-Britannique/Nord), des quotas ont été mis en œuvre dans la collecte de données. Des quotas d</w:t>
      </w:r>
      <w:r w:rsidR="00863EDF">
        <w:rPr>
          <w:rFonts w:asciiTheme="minorHAnsi" w:hAnsiTheme="minorHAnsi"/>
          <w:sz w:val="24"/>
          <w:szCs w:val="28"/>
        </w:rPr>
        <w:t>’</w:t>
      </w:r>
      <w:r>
        <w:rPr>
          <w:rFonts w:asciiTheme="minorHAnsi" w:hAnsiTheme="minorHAnsi"/>
          <w:sz w:val="24"/>
          <w:szCs w:val="28"/>
        </w:rPr>
        <w:t>âge et de sexe ont été mis en œuvre par région, et une pondération statistique des données des sondages a été mise en œuvre afin de tenir compte des petites différences entre les quotas de collecte de données cibles, d</w:t>
      </w:r>
      <w:r w:rsidR="00863EDF">
        <w:rPr>
          <w:rFonts w:asciiTheme="minorHAnsi" w:hAnsiTheme="minorHAnsi"/>
          <w:sz w:val="24"/>
          <w:szCs w:val="28"/>
        </w:rPr>
        <w:t>’</w:t>
      </w:r>
      <w:r>
        <w:rPr>
          <w:rFonts w:asciiTheme="minorHAnsi" w:hAnsiTheme="minorHAnsi"/>
          <w:sz w:val="24"/>
          <w:szCs w:val="28"/>
        </w:rPr>
        <w:t>une part, et la répartition réelle des sondages effectués, d</w:t>
      </w:r>
      <w:r w:rsidR="00863EDF">
        <w:rPr>
          <w:rFonts w:asciiTheme="minorHAnsi" w:hAnsiTheme="minorHAnsi"/>
          <w:sz w:val="24"/>
          <w:szCs w:val="28"/>
        </w:rPr>
        <w:t>’</w:t>
      </w:r>
      <w:r>
        <w:rPr>
          <w:rFonts w:asciiTheme="minorHAnsi" w:hAnsiTheme="minorHAnsi"/>
          <w:sz w:val="24"/>
          <w:szCs w:val="28"/>
        </w:rPr>
        <w:t>autre part. (Le statut d</w:t>
      </w:r>
      <w:r w:rsidR="00863EDF">
        <w:rPr>
          <w:rFonts w:asciiTheme="minorHAnsi" w:hAnsiTheme="minorHAnsi"/>
          <w:sz w:val="24"/>
          <w:szCs w:val="28"/>
        </w:rPr>
        <w:t>’</w:t>
      </w:r>
      <w:r>
        <w:rPr>
          <w:rFonts w:asciiTheme="minorHAnsi" w:hAnsiTheme="minorHAnsi"/>
          <w:sz w:val="24"/>
          <w:szCs w:val="28"/>
        </w:rPr>
        <w:t>immigrant a également été inclus dans la pondération statistique, comme il est indiqué ci-dessous dans la section sur la collecte de données du présent rapport méthodologique.)</w:t>
      </w:r>
    </w:p>
    <w:p w14:paraId="5C2AC263" w14:textId="77777777" w:rsidR="00311FA6" w:rsidRPr="009977FC" w:rsidRDefault="00311FA6" w:rsidP="0096505A">
      <w:pPr>
        <w:tabs>
          <w:tab w:val="left" w:pos="990"/>
        </w:tabs>
        <w:spacing w:line="276" w:lineRule="auto"/>
        <w:rPr>
          <w:rFonts w:asciiTheme="minorHAnsi" w:hAnsiTheme="minorHAnsi" w:cstheme="minorHAnsi"/>
        </w:rPr>
      </w:pPr>
    </w:p>
    <w:p w14:paraId="416762D0" w14:textId="77777777" w:rsidR="00311FA6" w:rsidRPr="00FA1893" w:rsidRDefault="0096505A" w:rsidP="0096505A">
      <w:pPr>
        <w:widowControl w:val="0"/>
        <w:tabs>
          <w:tab w:val="left" w:pos="990"/>
          <w:tab w:val="left" w:pos="1017"/>
        </w:tabs>
        <w:spacing w:line="276" w:lineRule="auto"/>
        <w:rPr>
          <w:rFonts w:asciiTheme="minorHAnsi" w:hAnsiTheme="minorHAnsi" w:cstheme="minorHAnsi"/>
          <w:color w:val="23B2BE"/>
          <w:sz w:val="28"/>
          <w:szCs w:val="28"/>
        </w:rPr>
      </w:pPr>
      <w:r w:rsidRPr="00FA1893">
        <w:rPr>
          <w:rFonts w:asciiTheme="minorHAnsi" w:hAnsiTheme="minorHAnsi"/>
          <w:color w:val="23B2BE"/>
          <w:sz w:val="28"/>
          <w:szCs w:val="28"/>
        </w:rPr>
        <w:t>Source des dossiers de coordonnées</w:t>
      </w:r>
    </w:p>
    <w:p w14:paraId="36469AE8" w14:textId="77777777" w:rsidR="00311FA6" w:rsidRPr="009977FC" w:rsidRDefault="00311FA6" w:rsidP="0096505A">
      <w:pPr>
        <w:tabs>
          <w:tab w:val="left" w:pos="990"/>
        </w:tabs>
        <w:spacing w:line="276" w:lineRule="auto"/>
        <w:rPr>
          <w:rFonts w:asciiTheme="minorHAnsi" w:hAnsiTheme="minorHAnsi" w:cstheme="minorHAnsi"/>
          <w:sz w:val="24"/>
          <w:szCs w:val="28"/>
        </w:rPr>
      </w:pPr>
    </w:p>
    <w:p w14:paraId="2F4EEE4E" w14:textId="6B9AC56B" w:rsidR="00311FA6" w:rsidRPr="009977FC" w:rsidRDefault="0096505A" w:rsidP="0096505A">
      <w:pPr>
        <w:widowControl w:val="0"/>
        <w:tabs>
          <w:tab w:val="left" w:pos="990"/>
          <w:tab w:val="left" w:pos="1017"/>
        </w:tabs>
        <w:spacing w:line="276" w:lineRule="auto"/>
        <w:rPr>
          <w:rFonts w:asciiTheme="minorHAnsi" w:hAnsiTheme="minorHAnsi" w:cstheme="minorHAnsi"/>
          <w:sz w:val="24"/>
          <w:szCs w:val="28"/>
        </w:rPr>
      </w:pPr>
      <w:r>
        <w:rPr>
          <w:rFonts w:asciiTheme="minorHAnsi" w:hAnsiTheme="minorHAnsi"/>
          <w:sz w:val="24"/>
          <w:szCs w:val="28"/>
        </w:rPr>
        <w:t>Narrative Research a retenu les services de The Logit Group pour cette recherche. Le panel de la population générale en ligne de The Logit Group est composé de plus de 600 000 résidents canadiens et profite d</w:t>
      </w:r>
      <w:r w:rsidR="00863EDF">
        <w:rPr>
          <w:rFonts w:asciiTheme="minorHAnsi" w:hAnsiTheme="minorHAnsi"/>
          <w:sz w:val="24"/>
          <w:szCs w:val="28"/>
        </w:rPr>
        <w:t>’</w:t>
      </w:r>
      <w:r>
        <w:rPr>
          <w:rFonts w:asciiTheme="minorHAnsi" w:hAnsiTheme="minorHAnsi"/>
          <w:sz w:val="24"/>
          <w:szCs w:val="28"/>
        </w:rPr>
        <w:t>une bonne représentation dans les différentes régions. Les panélistes de The Logit Group sont recrutés à partir d</w:t>
      </w:r>
      <w:r w:rsidR="00863EDF">
        <w:rPr>
          <w:rFonts w:asciiTheme="minorHAnsi" w:hAnsiTheme="minorHAnsi"/>
          <w:sz w:val="24"/>
          <w:szCs w:val="28"/>
        </w:rPr>
        <w:t>’</w:t>
      </w:r>
      <w:r>
        <w:rPr>
          <w:rFonts w:asciiTheme="minorHAnsi" w:hAnsiTheme="minorHAnsi"/>
          <w:sz w:val="24"/>
          <w:szCs w:val="28"/>
        </w:rPr>
        <w:t>un grand nombre de sources différentes afin de maximiser la portée et la représentation. Les politiques de recrutement des partenaires de The Logit Group (SSI, Toluna, AskingCanadians et Research Now) ont une vaste portée. La qualité des données d</w:t>
      </w:r>
      <w:r w:rsidR="00863EDF">
        <w:rPr>
          <w:rFonts w:asciiTheme="minorHAnsi" w:hAnsiTheme="minorHAnsi"/>
          <w:sz w:val="24"/>
          <w:szCs w:val="28"/>
        </w:rPr>
        <w:t>’</w:t>
      </w:r>
      <w:r>
        <w:rPr>
          <w:rFonts w:asciiTheme="minorHAnsi" w:hAnsiTheme="minorHAnsi"/>
          <w:sz w:val="24"/>
          <w:szCs w:val="28"/>
        </w:rPr>
        <w:t>un sondage repose sur de nombreux facteurs, y compris le contrôle des répondants, les vérifications continues de la qualité (p. ex., retirer les membres qui ne sont plus actifs), et ainsi de suite. Voici quelques-unes des sources de membres du panel pour les études de The Logit Group :</w:t>
      </w:r>
    </w:p>
    <w:p w14:paraId="02190473" w14:textId="77777777" w:rsidR="00311FA6" w:rsidRPr="009977FC" w:rsidRDefault="00311FA6" w:rsidP="0096505A">
      <w:pPr>
        <w:tabs>
          <w:tab w:val="left" w:pos="990"/>
        </w:tabs>
        <w:spacing w:line="276" w:lineRule="auto"/>
        <w:rPr>
          <w:rFonts w:asciiTheme="minorHAnsi" w:hAnsiTheme="minorHAnsi" w:cstheme="minorHAnsi"/>
          <w:sz w:val="24"/>
          <w:szCs w:val="28"/>
        </w:rPr>
      </w:pPr>
    </w:p>
    <w:p w14:paraId="00D77CFB" w14:textId="1A29048A"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Invitations par courriel : préautorisation d</w:t>
      </w:r>
      <w:r w:rsidR="00863EDF">
        <w:rPr>
          <w:rFonts w:asciiTheme="minorHAnsi" w:hAnsiTheme="minorHAnsi"/>
          <w:sz w:val="24"/>
          <w:szCs w:val="28"/>
        </w:rPr>
        <w:t>’</w:t>
      </w:r>
      <w:r>
        <w:rPr>
          <w:rFonts w:asciiTheme="minorHAnsi" w:hAnsiTheme="minorHAnsi"/>
          <w:sz w:val="24"/>
          <w:szCs w:val="28"/>
        </w:rPr>
        <w:t>inscription aux listes d</w:t>
      </w:r>
      <w:r w:rsidR="00863EDF">
        <w:rPr>
          <w:rFonts w:asciiTheme="minorHAnsi" w:hAnsiTheme="minorHAnsi"/>
          <w:sz w:val="24"/>
          <w:szCs w:val="28"/>
        </w:rPr>
        <w:t>’</w:t>
      </w:r>
      <w:r>
        <w:rPr>
          <w:rFonts w:asciiTheme="minorHAnsi" w:hAnsiTheme="minorHAnsi"/>
          <w:sz w:val="24"/>
          <w:szCs w:val="28"/>
        </w:rPr>
        <w:t>associations et de groupes</w:t>
      </w:r>
    </w:p>
    <w:p w14:paraId="3731FAC5"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Médias sociaux : groupes publicitaires et sociaux sur les grandes plateformes de médias sociaux</w:t>
      </w:r>
    </w:p>
    <w:p w14:paraId="01A45FE9"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Plateformes de médias : publicité sur des plateformes de médias en ligne (créneaux et plateformes populaires)</w:t>
      </w:r>
    </w:p>
    <w:p w14:paraId="127C2E82"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Utilisation de grandes marques de recrutement</w:t>
      </w:r>
    </w:p>
    <w:p w14:paraId="67650A2E" w14:textId="77777777" w:rsidR="007A559C" w:rsidRPr="009977FC" w:rsidRDefault="007A559C" w:rsidP="007A559C">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Programmes de fidélité</w:t>
      </w:r>
    </w:p>
    <w:p w14:paraId="04E703F8"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Publics ciblés</w:t>
      </w:r>
    </w:p>
    <w:p w14:paraId="04E8CAC3"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Sites de réseaux Web et sociaux</w:t>
      </w:r>
    </w:p>
    <w:p w14:paraId="1E308306"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Courriels ciblés par les partenaires en ligne de The Logit Group à leurs membres ou abonnés</w:t>
      </w:r>
    </w:p>
    <w:p w14:paraId="3A90F58B" w14:textId="77777777" w:rsidR="00311FA6" w:rsidRPr="009977FC" w:rsidRDefault="0096505A" w:rsidP="0096505A">
      <w:pPr>
        <w:numPr>
          <w:ilvl w:val="0"/>
          <w:numId w:val="17"/>
        </w:numPr>
        <w:tabs>
          <w:tab w:val="left" w:pos="990"/>
        </w:tabs>
        <w:spacing w:line="276" w:lineRule="auto"/>
        <w:rPr>
          <w:rFonts w:asciiTheme="minorHAnsi" w:hAnsiTheme="minorHAnsi" w:cstheme="minorHAnsi"/>
          <w:sz w:val="24"/>
          <w:szCs w:val="28"/>
        </w:rPr>
      </w:pPr>
      <w:r>
        <w:rPr>
          <w:rFonts w:asciiTheme="minorHAnsi" w:hAnsiTheme="minorHAnsi"/>
          <w:sz w:val="24"/>
          <w:szCs w:val="28"/>
        </w:rPr>
        <w:t>Programmes de recommandation</w:t>
      </w:r>
    </w:p>
    <w:p w14:paraId="66289C74" w14:textId="77777777" w:rsidR="00311FA6" w:rsidRPr="009977FC" w:rsidRDefault="00311FA6" w:rsidP="0096505A">
      <w:pPr>
        <w:tabs>
          <w:tab w:val="left" w:pos="990"/>
        </w:tabs>
        <w:spacing w:line="276" w:lineRule="auto"/>
        <w:rPr>
          <w:rFonts w:asciiTheme="minorHAnsi" w:hAnsiTheme="minorHAnsi" w:cstheme="minorHAnsi"/>
        </w:rPr>
      </w:pPr>
    </w:p>
    <w:p w14:paraId="3F06E881" w14:textId="77777777" w:rsidR="00311FA6" w:rsidRPr="009977FC" w:rsidRDefault="00311FA6" w:rsidP="0096505A">
      <w:pPr>
        <w:tabs>
          <w:tab w:val="left" w:pos="990"/>
        </w:tabs>
        <w:spacing w:line="276" w:lineRule="auto"/>
        <w:rPr>
          <w:rFonts w:asciiTheme="minorHAnsi" w:hAnsiTheme="minorHAnsi" w:cstheme="minorHAnsi"/>
          <w:sz w:val="24"/>
          <w:szCs w:val="28"/>
        </w:rPr>
      </w:pPr>
    </w:p>
    <w:p w14:paraId="6AB6E52E" w14:textId="3CA10781" w:rsidR="00311FA6" w:rsidRPr="009977FC" w:rsidRDefault="0096505A" w:rsidP="0096505A">
      <w:pPr>
        <w:tabs>
          <w:tab w:val="left" w:pos="990"/>
        </w:tabs>
        <w:spacing w:line="276" w:lineRule="auto"/>
        <w:rPr>
          <w:rFonts w:asciiTheme="minorHAnsi" w:hAnsiTheme="minorHAnsi" w:cstheme="minorHAnsi"/>
          <w:sz w:val="24"/>
          <w:szCs w:val="28"/>
        </w:rPr>
      </w:pPr>
      <w:r>
        <w:rPr>
          <w:rFonts w:asciiTheme="minorHAnsi" w:hAnsiTheme="minorHAnsi"/>
          <w:sz w:val="24"/>
          <w:szCs w:val="28"/>
        </w:rPr>
        <w:t>The Logit Group a mis au point plusieurs processus d</w:t>
      </w:r>
      <w:r w:rsidR="00863EDF">
        <w:rPr>
          <w:rFonts w:asciiTheme="minorHAnsi" w:hAnsiTheme="minorHAnsi"/>
          <w:sz w:val="24"/>
          <w:szCs w:val="28"/>
        </w:rPr>
        <w:t>’</w:t>
      </w:r>
      <w:r>
        <w:rPr>
          <w:rFonts w:asciiTheme="minorHAnsi" w:hAnsiTheme="minorHAnsi"/>
          <w:sz w:val="24"/>
          <w:szCs w:val="28"/>
        </w:rPr>
        <w:t xml:space="preserve">assurance de la qualité dans le but de repérer de façon proactive les répondants non valides. La société a par exemple mis en œuvre des méthodes qui lui permettent de cerner rapidement les personnes qui répondent aux sondages à toute vitesse (c.-à-d. les répondants qui fournissent les mêmes réponses à toutes les questions comme moyen de terminer rapidement le sondage), ce qui lui permet de déterminer si les réponses sont réfléchies et justes ou non. </w:t>
      </w:r>
    </w:p>
    <w:p w14:paraId="05830CED" w14:textId="77777777" w:rsidR="00311FA6" w:rsidRPr="009977FC" w:rsidRDefault="00311FA6" w:rsidP="0096505A">
      <w:pPr>
        <w:rPr>
          <w:rFonts w:asciiTheme="minorHAnsi" w:hAnsiTheme="minorHAnsi" w:cstheme="minorHAnsi"/>
          <w:sz w:val="24"/>
          <w:szCs w:val="28"/>
          <w:lang w:eastAsia="x-none"/>
        </w:rPr>
      </w:pPr>
    </w:p>
    <w:p w14:paraId="2B82E0B9" w14:textId="47A5DFDC" w:rsidR="00311FA6" w:rsidRPr="009977FC" w:rsidRDefault="0096505A" w:rsidP="0096505A">
      <w:pPr>
        <w:tabs>
          <w:tab w:val="left" w:pos="990"/>
        </w:tabs>
        <w:spacing w:line="276" w:lineRule="auto"/>
        <w:rPr>
          <w:rFonts w:asciiTheme="minorHAnsi" w:hAnsiTheme="minorHAnsi" w:cstheme="minorHAnsi"/>
          <w:sz w:val="24"/>
          <w:szCs w:val="28"/>
        </w:rPr>
      </w:pPr>
      <w:r>
        <w:rPr>
          <w:rFonts w:asciiTheme="minorHAnsi" w:hAnsiTheme="minorHAnsi"/>
          <w:sz w:val="24"/>
          <w:szCs w:val="28"/>
        </w:rPr>
        <w:t>Les membres du panel sont comparés aux données de Statistique Canada dans le but d</w:t>
      </w:r>
      <w:r w:rsidR="00863EDF">
        <w:rPr>
          <w:rFonts w:asciiTheme="minorHAnsi" w:hAnsiTheme="minorHAnsi"/>
          <w:sz w:val="24"/>
          <w:szCs w:val="28"/>
        </w:rPr>
        <w:t>’</w:t>
      </w:r>
      <w:r>
        <w:rPr>
          <w:rFonts w:asciiTheme="minorHAnsi" w:hAnsiTheme="minorHAnsi"/>
          <w:sz w:val="24"/>
          <w:szCs w:val="28"/>
        </w:rPr>
        <w:t>évaluer la représentation statistique. Des campagnes annuelles de remise à jour des profils sont menées pour inciter les membres du panel à rester à jour; ces campagnes leur posent également parfois de nouvelles questions de façon à mieux cibler certains créneaux. Les membres du panel reçoivent comme récompense pour leur participation des points Primes La Baie d</w:t>
      </w:r>
      <w:r w:rsidR="00863EDF">
        <w:rPr>
          <w:rFonts w:asciiTheme="minorHAnsi" w:hAnsiTheme="minorHAnsi"/>
          <w:sz w:val="24"/>
          <w:szCs w:val="28"/>
        </w:rPr>
        <w:t>’</w:t>
      </w:r>
      <w:r>
        <w:rPr>
          <w:rFonts w:asciiTheme="minorHAnsi" w:hAnsiTheme="minorHAnsi"/>
          <w:sz w:val="24"/>
          <w:szCs w:val="28"/>
        </w:rPr>
        <w:t xml:space="preserve">Hudson, des milles Aéroplan ou des Petro-Points, ainsi que divers prix. </w:t>
      </w:r>
    </w:p>
    <w:p w14:paraId="56F3E0D6" w14:textId="77777777" w:rsidR="00311FA6" w:rsidRPr="009977FC" w:rsidRDefault="00311FA6" w:rsidP="0096505A">
      <w:pPr>
        <w:rPr>
          <w:rFonts w:asciiTheme="minorHAnsi" w:hAnsiTheme="minorHAnsi" w:cstheme="minorHAnsi"/>
          <w:sz w:val="24"/>
          <w:szCs w:val="28"/>
          <w:lang w:eastAsia="x-none"/>
        </w:rPr>
      </w:pPr>
    </w:p>
    <w:p w14:paraId="6730E3E8" w14:textId="77777777" w:rsidR="002C523D" w:rsidRDefault="002C523D">
      <w:pPr>
        <w:rPr>
          <w:rFonts w:asciiTheme="minorHAnsi" w:eastAsiaTheme="majorEastAsia" w:hAnsiTheme="minorHAnsi" w:cstheme="majorBidi"/>
          <w:b/>
          <w:bCs/>
          <w:color w:val="23B2BE"/>
          <w:sz w:val="28"/>
          <w:szCs w:val="32"/>
        </w:rPr>
      </w:pPr>
      <w:bookmarkStart w:id="12" w:name="_Toc111128292"/>
      <w:r>
        <w:rPr>
          <w:rFonts w:asciiTheme="minorHAnsi" w:hAnsiTheme="minorHAnsi"/>
          <w:bCs/>
          <w:sz w:val="28"/>
        </w:rPr>
        <w:br w:type="page"/>
      </w:r>
    </w:p>
    <w:p w14:paraId="1AEBB9DE" w14:textId="56AA8804" w:rsidR="00311FA6" w:rsidRPr="009977FC" w:rsidRDefault="007A559C" w:rsidP="00311FA6">
      <w:pPr>
        <w:pStyle w:val="Heading1"/>
        <w:spacing w:line="276" w:lineRule="auto"/>
        <w:rPr>
          <w:rFonts w:asciiTheme="minorHAnsi" w:hAnsiTheme="minorHAnsi" w:cstheme="minorHAnsi"/>
          <w:bCs/>
          <w:sz w:val="28"/>
        </w:rPr>
      </w:pPr>
      <w:r>
        <w:rPr>
          <w:rFonts w:asciiTheme="minorHAnsi" w:hAnsiTheme="minorHAnsi"/>
          <w:bCs/>
          <w:sz w:val="28"/>
        </w:rPr>
        <w:t>Tenue du sondage</w:t>
      </w:r>
      <w:bookmarkEnd w:id="12"/>
    </w:p>
    <w:p w14:paraId="60463990" w14:textId="77777777" w:rsidR="00311FA6" w:rsidRPr="009977FC" w:rsidRDefault="00311FA6" w:rsidP="0096505A">
      <w:pPr>
        <w:rPr>
          <w:rFonts w:asciiTheme="minorHAnsi" w:hAnsiTheme="minorHAnsi" w:cstheme="minorHAnsi"/>
          <w:sz w:val="24"/>
          <w:szCs w:val="28"/>
          <w:highlight w:val="yellow"/>
          <w:lang w:eastAsia="x-none"/>
        </w:rPr>
      </w:pPr>
    </w:p>
    <w:p w14:paraId="08C744DA" w14:textId="77777777" w:rsidR="00311FA6" w:rsidRPr="00FA1893" w:rsidRDefault="0096505A" w:rsidP="0096505A">
      <w:pPr>
        <w:widowControl w:val="0"/>
        <w:tabs>
          <w:tab w:val="left" w:pos="990"/>
          <w:tab w:val="left" w:pos="1017"/>
        </w:tabs>
        <w:spacing w:line="276" w:lineRule="auto"/>
        <w:rPr>
          <w:rFonts w:asciiTheme="minorHAnsi" w:hAnsiTheme="minorHAnsi" w:cstheme="minorHAnsi"/>
          <w:color w:val="23B2BE"/>
          <w:sz w:val="28"/>
          <w:szCs w:val="28"/>
        </w:rPr>
      </w:pPr>
      <w:r w:rsidRPr="00FA1893">
        <w:rPr>
          <w:rFonts w:asciiTheme="minorHAnsi" w:hAnsiTheme="minorHAnsi"/>
          <w:color w:val="23B2BE"/>
          <w:sz w:val="28"/>
          <w:szCs w:val="28"/>
        </w:rPr>
        <w:t>Programmation et test de sondages</w:t>
      </w:r>
    </w:p>
    <w:p w14:paraId="5FA91EE2" w14:textId="77777777" w:rsidR="00311FA6" w:rsidRPr="009977FC" w:rsidRDefault="00311FA6" w:rsidP="0096505A">
      <w:pPr>
        <w:rPr>
          <w:rFonts w:asciiTheme="minorHAnsi" w:hAnsiTheme="minorHAnsi" w:cstheme="minorHAnsi"/>
          <w:sz w:val="24"/>
          <w:szCs w:val="28"/>
          <w:highlight w:val="yellow"/>
          <w:lang w:eastAsia="x-none"/>
        </w:rPr>
      </w:pPr>
    </w:p>
    <w:p w14:paraId="473FDA49" w14:textId="2E406DF3" w:rsidR="00311FA6" w:rsidRPr="009977FC" w:rsidRDefault="0096505A" w:rsidP="0096505A">
      <w:pPr>
        <w:spacing w:line="276" w:lineRule="auto"/>
        <w:ind w:right="-131"/>
        <w:rPr>
          <w:rFonts w:asciiTheme="minorHAnsi" w:hAnsiTheme="minorHAnsi" w:cstheme="minorHAnsi"/>
          <w:sz w:val="24"/>
          <w:szCs w:val="28"/>
        </w:rPr>
      </w:pPr>
      <w:r>
        <w:rPr>
          <w:rFonts w:asciiTheme="minorHAnsi" w:hAnsiTheme="minorHAnsi"/>
          <w:sz w:val="24"/>
          <w:szCs w:val="28"/>
        </w:rPr>
        <w:t>Pour la phase de collecte de données suivant la campagne publicitaire, les sondages en ligne étaient programmés par Narrative Research en anglais et en français, à l</w:t>
      </w:r>
      <w:r w:rsidR="00863EDF">
        <w:rPr>
          <w:rFonts w:asciiTheme="minorHAnsi" w:hAnsiTheme="minorHAnsi"/>
          <w:sz w:val="24"/>
          <w:szCs w:val="28"/>
        </w:rPr>
        <w:t>’</w:t>
      </w:r>
      <w:r>
        <w:rPr>
          <w:rFonts w:asciiTheme="minorHAnsi" w:hAnsiTheme="minorHAnsi"/>
          <w:sz w:val="24"/>
          <w:szCs w:val="28"/>
        </w:rPr>
        <w:t>aide du logiciel de programmation Voxco Acuity. L</w:t>
      </w:r>
      <w:r w:rsidR="00863EDF">
        <w:rPr>
          <w:rFonts w:asciiTheme="minorHAnsi" w:hAnsiTheme="minorHAnsi"/>
          <w:sz w:val="24"/>
          <w:szCs w:val="28"/>
        </w:rPr>
        <w:t>’</w:t>
      </w:r>
      <w:r>
        <w:rPr>
          <w:rFonts w:asciiTheme="minorHAnsi" w:hAnsiTheme="minorHAnsi"/>
          <w:sz w:val="24"/>
          <w:szCs w:val="28"/>
        </w:rPr>
        <w:t>invitation officielle aux répondants était formulée dans la langue officielle de leur choix. De plus, pendant qu</w:t>
      </w:r>
      <w:r w:rsidR="00863EDF">
        <w:rPr>
          <w:rFonts w:asciiTheme="minorHAnsi" w:hAnsiTheme="minorHAnsi"/>
          <w:sz w:val="24"/>
          <w:szCs w:val="28"/>
        </w:rPr>
        <w:t>’</w:t>
      </w:r>
      <w:r>
        <w:rPr>
          <w:rFonts w:asciiTheme="minorHAnsi" w:hAnsiTheme="minorHAnsi"/>
          <w:sz w:val="24"/>
          <w:szCs w:val="28"/>
        </w:rPr>
        <w:t>ils répondaient aux questions, les participants avaient la possibilité de basculer entre les deux langues en tout temps. S</w:t>
      </w:r>
      <w:r w:rsidR="00863EDF">
        <w:rPr>
          <w:rFonts w:asciiTheme="minorHAnsi" w:hAnsiTheme="minorHAnsi"/>
          <w:sz w:val="24"/>
          <w:szCs w:val="28"/>
        </w:rPr>
        <w:t>’</w:t>
      </w:r>
      <w:r>
        <w:rPr>
          <w:rFonts w:asciiTheme="minorHAnsi" w:hAnsiTheme="minorHAnsi"/>
          <w:sz w:val="24"/>
          <w:szCs w:val="28"/>
        </w:rPr>
        <w:t>ils avaient besoin de l</w:t>
      </w:r>
      <w:r w:rsidR="00863EDF">
        <w:rPr>
          <w:rFonts w:asciiTheme="minorHAnsi" w:hAnsiTheme="minorHAnsi"/>
          <w:sz w:val="24"/>
          <w:szCs w:val="28"/>
        </w:rPr>
        <w:t>’</w:t>
      </w:r>
      <w:r>
        <w:rPr>
          <w:rFonts w:asciiTheme="minorHAnsi" w:hAnsiTheme="minorHAnsi"/>
          <w:sz w:val="24"/>
          <w:szCs w:val="28"/>
        </w:rPr>
        <w:t>aide d</w:t>
      </w:r>
      <w:r w:rsidR="00863EDF">
        <w:rPr>
          <w:rFonts w:asciiTheme="minorHAnsi" w:hAnsiTheme="minorHAnsi"/>
          <w:sz w:val="24"/>
          <w:szCs w:val="28"/>
        </w:rPr>
        <w:t>’</w:t>
      </w:r>
      <w:r>
        <w:rPr>
          <w:rFonts w:asciiTheme="minorHAnsi" w:hAnsiTheme="minorHAnsi"/>
          <w:sz w:val="24"/>
          <w:szCs w:val="28"/>
        </w:rPr>
        <w:t>employés bilingues de Narrative Research pour répondre au sondage, celle-ci leur était fournie. Les répondants ont été en mesure de vérifier la légitimité du sondage par l</w:t>
      </w:r>
      <w:r w:rsidR="00863EDF">
        <w:rPr>
          <w:rFonts w:asciiTheme="minorHAnsi" w:hAnsiTheme="minorHAnsi"/>
          <w:sz w:val="24"/>
          <w:szCs w:val="28"/>
        </w:rPr>
        <w:t>’</w:t>
      </w:r>
      <w:r>
        <w:rPr>
          <w:rFonts w:asciiTheme="minorHAnsi" w:hAnsiTheme="minorHAnsi"/>
          <w:sz w:val="24"/>
          <w:szCs w:val="28"/>
        </w:rPr>
        <w:t>intermédiaire de représentants de Narrative Research ou du système d</w:t>
      </w:r>
      <w:r w:rsidR="00863EDF">
        <w:rPr>
          <w:rFonts w:asciiTheme="minorHAnsi" w:hAnsiTheme="minorHAnsi"/>
          <w:sz w:val="24"/>
          <w:szCs w:val="28"/>
        </w:rPr>
        <w:t>’</w:t>
      </w:r>
      <w:r>
        <w:rPr>
          <w:rFonts w:asciiTheme="minorHAnsi" w:hAnsiTheme="minorHAnsi"/>
          <w:sz w:val="24"/>
          <w:szCs w:val="28"/>
        </w:rPr>
        <w:t>inscription au sondage mis à leur disposition par le Conseil de recherche et d</w:t>
      </w:r>
      <w:r w:rsidR="00863EDF">
        <w:rPr>
          <w:rFonts w:asciiTheme="minorHAnsi" w:hAnsiTheme="minorHAnsi"/>
          <w:sz w:val="24"/>
          <w:szCs w:val="28"/>
        </w:rPr>
        <w:t>’</w:t>
      </w:r>
      <w:r>
        <w:rPr>
          <w:rFonts w:asciiTheme="minorHAnsi" w:hAnsiTheme="minorHAnsi"/>
          <w:sz w:val="24"/>
          <w:szCs w:val="28"/>
        </w:rPr>
        <w:t>intelligence marketing canadien (CRIC), l</w:t>
      </w:r>
      <w:r w:rsidR="00863EDF">
        <w:rPr>
          <w:rFonts w:asciiTheme="minorHAnsi" w:hAnsiTheme="minorHAnsi"/>
          <w:sz w:val="24"/>
          <w:szCs w:val="28"/>
        </w:rPr>
        <w:t>’</w:t>
      </w:r>
      <w:r>
        <w:rPr>
          <w:rFonts w:asciiTheme="minorHAnsi" w:hAnsiTheme="minorHAnsi"/>
          <w:sz w:val="24"/>
          <w:szCs w:val="28"/>
        </w:rPr>
        <w:t>organisme de recherche national du Canada pour ce secteur. Les sondages programmés ont fait l</w:t>
      </w:r>
      <w:r w:rsidR="00863EDF">
        <w:rPr>
          <w:rFonts w:asciiTheme="minorHAnsi" w:hAnsiTheme="minorHAnsi"/>
          <w:sz w:val="24"/>
          <w:szCs w:val="28"/>
        </w:rPr>
        <w:t>’</w:t>
      </w:r>
      <w:r>
        <w:rPr>
          <w:rFonts w:asciiTheme="minorHAnsi" w:hAnsiTheme="minorHAnsi"/>
          <w:sz w:val="24"/>
          <w:szCs w:val="28"/>
        </w:rPr>
        <w:t>objet d</w:t>
      </w:r>
      <w:r w:rsidR="00863EDF">
        <w:rPr>
          <w:rFonts w:asciiTheme="minorHAnsi" w:hAnsiTheme="minorHAnsi"/>
          <w:sz w:val="24"/>
          <w:szCs w:val="28"/>
        </w:rPr>
        <w:t>’</w:t>
      </w:r>
      <w:r>
        <w:rPr>
          <w:rFonts w:asciiTheme="minorHAnsi" w:hAnsiTheme="minorHAnsi"/>
          <w:sz w:val="24"/>
          <w:szCs w:val="28"/>
        </w:rPr>
        <w:t>essais visant à vérifier que l</w:t>
      </w:r>
      <w:r w:rsidR="00863EDF">
        <w:rPr>
          <w:rFonts w:asciiTheme="minorHAnsi" w:hAnsiTheme="minorHAnsi"/>
          <w:sz w:val="24"/>
          <w:szCs w:val="28"/>
        </w:rPr>
        <w:t>’</w:t>
      </w:r>
      <w:r>
        <w:rPr>
          <w:rFonts w:asciiTheme="minorHAnsi" w:hAnsiTheme="minorHAnsi"/>
          <w:sz w:val="24"/>
          <w:szCs w:val="28"/>
        </w:rPr>
        <w:t>enchaînement des questions était le bon (ordre et questions sautées). Les essais comprenaient la participation de chercheurs de Narrative Research pour assurer l</w:t>
      </w:r>
      <w:r w:rsidR="00863EDF">
        <w:rPr>
          <w:rFonts w:asciiTheme="minorHAnsi" w:hAnsiTheme="minorHAnsi"/>
          <w:sz w:val="24"/>
          <w:szCs w:val="28"/>
        </w:rPr>
        <w:t>’</w:t>
      </w:r>
      <w:r>
        <w:rPr>
          <w:rFonts w:asciiTheme="minorHAnsi" w:hAnsiTheme="minorHAnsi"/>
          <w:sz w:val="24"/>
          <w:szCs w:val="28"/>
        </w:rPr>
        <w:t>exactitude de la réalisation du sondage, du texte, des liens, etc. Le personnel de l</w:t>
      </w:r>
      <w:r w:rsidR="00863EDF">
        <w:rPr>
          <w:rFonts w:asciiTheme="minorHAnsi" w:hAnsiTheme="minorHAnsi"/>
          <w:sz w:val="24"/>
          <w:szCs w:val="28"/>
        </w:rPr>
        <w:t>’</w:t>
      </w:r>
      <w:r>
        <w:rPr>
          <w:rFonts w:asciiTheme="minorHAnsi" w:hAnsiTheme="minorHAnsi"/>
          <w:sz w:val="24"/>
          <w:szCs w:val="28"/>
        </w:rPr>
        <w:t xml:space="preserve">Agence a également reçu le lien des sondages-tests pour les sondages avant et après la campagne. </w:t>
      </w:r>
    </w:p>
    <w:p w14:paraId="77A5F829" w14:textId="77777777" w:rsidR="00311FA6" w:rsidRPr="009977FC" w:rsidRDefault="00311FA6" w:rsidP="0096505A">
      <w:pPr>
        <w:rPr>
          <w:rFonts w:asciiTheme="minorHAnsi" w:hAnsiTheme="minorHAnsi" w:cstheme="minorHAnsi"/>
          <w:sz w:val="24"/>
          <w:szCs w:val="28"/>
          <w:lang w:eastAsia="x-none"/>
        </w:rPr>
      </w:pPr>
    </w:p>
    <w:p w14:paraId="50E5D94E" w14:textId="77777777" w:rsidR="0090343C" w:rsidRDefault="0090343C">
      <w:pPr>
        <w:rPr>
          <w:rFonts w:asciiTheme="minorHAnsi" w:hAnsiTheme="minorHAnsi"/>
          <w:sz w:val="24"/>
          <w:szCs w:val="28"/>
        </w:rPr>
      </w:pPr>
      <w:r>
        <w:rPr>
          <w:rFonts w:asciiTheme="minorHAnsi" w:hAnsiTheme="minorHAnsi"/>
          <w:sz w:val="24"/>
          <w:szCs w:val="28"/>
        </w:rPr>
        <w:br w:type="page"/>
      </w:r>
    </w:p>
    <w:p w14:paraId="47B47361" w14:textId="2C6C46D3"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Un total de 24 sondages-tests en anglais et 13 sondages-tests en français ont été effectués en mars 2022 pour le sondage après la campagne. Les essais préalables ont été effectués au moyen d</w:t>
      </w:r>
      <w:r w:rsidR="00863EDF">
        <w:rPr>
          <w:rFonts w:asciiTheme="minorHAnsi" w:hAnsiTheme="minorHAnsi"/>
          <w:sz w:val="24"/>
          <w:szCs w:val="28"/>
        </w:rPr>
        <w:t>’</w:t>
      </w:r>
      <w:r>
        <w:rPr>
          <w:rFonts w:asciiTheme="minorHAnsi" w:hAnsiTheme="minorHAnsi"/>
          <w:sz w:val="24"/>
          <w:szCs w:val="28"/>
        </w:rPr>
        <w:t>un test prélancement dans le cadre duquel un petit nombre de répondants du groupe ont été invités à participer au sondage. Les essais préalables ont aidé à examiner les données des sondages dans le but de garantir leur fiabilité et de cerner les éventuels problèmes de programmation auxquels il fallait remédier. On a demandé aux répondants aux essais préalables s</w:t>
      </w:r>
      <w:r w:rsidR="00863EDF">
        <w:rPr>
          <w:rFonts w:asciiTheme="minorHAnsi" w:hAnsiTheme="minorHAnsi"/>
          <w:sz w:val="24"/>
          <w:szCs w:val="28"/>
        </w:rPr>
        <w:t>’</w:t>
      </w:r>
      <w:r>
        <w:rPr>
          <w:rFonts w:asciiTheme="minorHAnsi" w:hAnsiTheme="minorHAnsi"/>
          <w:sz w:val="24"/>
          <w:szCs w:val="28"/>
        </w:rPr>
        <w:t>ils avaient de la difficulté à comprendre certains aspects des sondages. Personne n</w:t>
      </w:r>
      <w:r w:rsidR="00863EDF">
        <w:rPr>
          <w:rFonts w:asciiTheme="minorHAnsi" w:hAnsiTheme="minorHAnsi"/>
          <w:sz w:val="24"/>
          <w:szCs w:val="28"/>
        </w:rPr>
        <w:t>’</w:t>
      </w:r>
      <w:r>
        <w:rPr>
          <w:rFonts w:asciiTheme="minorHAnsi" w:hAnsiTheme="minorHAnsi"/>
          <w:sz w:val="24"/>
          <w:szCs w:val="28"/>
        </w:rPr>
        <w:t>a répondu par l</w:t>
      </w:r>
      <w:r w:rsidR="00863EDF">
        <w:rPr>
          <w:rFonts w:asciiTheme="minorHAnsi" w:hAnsiTheme="minorHAnsi"/>
          <w:sz w:val="24"/>
          <w:szCs w:val="28"/>
        </w:rPr>
        <w:t>’</w:t>
      </w:r>
      <w:r>
        <w:rPr>
          <w:rFonts w:asciiTheme="minorHAnsi" w:hAnsiTheme="minorHAnsi"/>
          <w:sz w:val="24"/>
          <w:szCs w:val="28"/>
        </w:rPr>
        <w:t>affirmative. Ainsi, les essais préalables n</w:t>
      </w:r>
      <w:r w:rsidR="00863EDF">
        <w:rPr>
          <w:rFonts w:asciiTheme="minorHAnsi" w:hAnsiTheme="minorHAnsi"/>
          <w:sz w:val="24"/>
          <w:szCs w:val="28"/>
        </w:rPr>
        <w:t>’</w:t>
      </w:r>
      <w:r>
        <w:rPr>
          <w:rFonts w:asciiTheme="minorHAnsi" w:hAnsiTheme="minorHAnsi"/>
          <w:sz w:val="24"/>
          <w:szCs w:val="28"/>
        </w:rPr>
        <w:t>ont révélé aucun important problème de qualité des données et, par conséquent, les données de ces tests ont été conservées dans l</w:t>
      </w:r>
      <w:r w:rsidR="00863EDF">
        <w:rPr>
          <w:rFonts w:asciiTheme="minorHAnsi" w:hAnsiTheme="minorHAnsi"/>
          <w:sz w:val="24"/>
          <w:szCs w:val="28"/>
        </w:rPr>
        <w:t>’</w:t>
      </w:r>
      <w:r>
        <w:rPr>
          <w:rFonts w:asciiTheme="minorHAnsi" w:hAnsiTheme="minorHAnsi"/>
          <w:sz w:val="24"/>
          <w:szCs w:val="28"/>
        </w:rPr>
        <w:t>ensemble final de données.</w:t>
      </w:r>
    </w:p>
    <w:p w14:paraId="70BB3DC8" w14:textId="77777777" w:rsidR="00311FA6" w:rsidRPr="009977FC" w:rsidRDefault="00311FA6" w:rsidP="0096505A">
      <w:pPr>
        <w:spacing w:line="276" w:lineRule="auto"/>
        <w:rPr>
          <w:rFonts w:asciiTheme="minorHAnsi" w:hAnsiTheme="minorHAnsi" w:cstheme="minorHAnsi"/>
          <w:sz w:val="24"/>
          <w:szCs w:val="28"/>
          <w:lang w:eastAsia="x-none"/>
        </w:rPr>
      </w:pPr>
    </w:p>
    <w:p w14:paraId="1A1C23E6" w14:textId="31815AC6" w:rsidR="00311FA6" w:rsidRPr="00FA1893" w:rsidRDefault="007A559C" w:rsidP="00311FA6">
      <w:pPr>
        <w:widowControl w:val="0"/>
        <w:tabs>
          <w:tab w:val="left" w:pos="990"/>
          <w:tab w:val="left" w:pos="1017"/>
        </w:tabs>
        <w:spacing w:line="276" w:lineRule="auto"/>
        <w:rPr>
          <w:rFonts w:asciiTheme="minorHAnsi" w:hAnsiTheme="minorHAnsi" w:cstheme="minorHAnsi"/>
          <w:color w:val="23B2BE"/>
          <w:sz w:val="28"/>
          <w:szCs w:val="28"/>
        </w:rPr>
      </w:pPr>
      <w:r w:rsidRPr="00FA1893">
        <w:rPr>
          <w:rFonts w:asciiTheme="minorHAnsi" w:hAnsiTheme="minorHAnsi"/>
          <w:color w:val="23B2BE"/>
          <w:sz w:val="28"/>
          <w:szCs w:val="28"/>
        </w:rPr>
        <w:t>Collecte des données</w:t>
      </w:r>
    </w:p>
    <w:p w14:paraId="4499F330" w14:textId="77777777" w:rsidR="00311FA6" w:rsidRPr="009977FC" w:rsidRDefault="00311FA6" w:rsidP="0096505A">
      <w:pPr>
        <w:ind w:right="-279"/>
        <w:rPr>
          <w:rFonts w:asciiTheme="minorHAnsi" w:hAnsiTheme="minorHAnsi" w:cstheme="minorHAnsi"/>
          <w:sz w:val="24"/>
          <w:szCs w:val="28"/>
          <w:highlight w:val="yellow"/>
        </w:rPr>
      </w:pPr>
    </w:p>
    <w:p w14:paraId="3F7BA61E" w14:textId="77777777" w:rsidR="00311FA6" w:rsidRPr="009977FC" w:rsidRDefault="0096505A" w:rsidP="0096505A">
      <w:pPr>
        <w:spacing w:line="276" w:lineRule="auto"/>
        <w:ind w:right="-131"/>
        <w:rPr>
          <w:rFonts w:asciiTheme="minorHAnsi" w:hAnsiTheme="minorHAnsi" w:cstheme="minorHAnsi"/>
          <w:sz w:val="24"/>
          <w:szCs w:val="28"/>
        </w:rPr>
      </w:pPr>
      <w:r>
        <w:rPr>
          <w:rFonts w:asciiTheme="minorHAnsi" w:hAnsiTheme="minorHAnsi"/>
          <w:sz w:val="24"/>
          <w:szCs w:val="28"/>
        </w:rPr>
        <w:t xml:space="preserve">Contrairement aux sondages menés au téléphone, qui se font habituellement auprès de nouveaux répondants tout au long de la période de collecte visée, les sondages en ligne, comme celui dont il est question dans cette recherche, invitent la grande majorité des répondants à participer dans un laps de temps très court, et ce, après la campagne pour le sondage de la deuxième phase. </w:t>
      </w:r>
    </w:p>
    <w:p w14:paraId="05A0A432" w14:textId="77777777" w:rsidR="00311FA6" w:rsidRPr="009977FC" w:rsidRDefault="00311FA6" w:rsidP="0096505A">
      <w:pPr>
        <w:ind w:right="-279"/>
        <w:rPr>
          <w:rFonts w:asciiTheme="minorHAnsi" w:hAnsiTheme="minorHAnsi" w:cstheme="minorHAnsi"/>
          <w:sz w:val="24"/>
          <w:szCs w:val="28"/>
        </w:rPr>
      </w:pPr>
    </w:p>
    <w:p w14:paraId="4EB9EFFC" w14:textId="52A0B730" w:rsidR="00311FA6" w:rsidRPr="009977FC" w:rsidRDefault="0096505A" w:rsidP="0096505A">
      <w:pPr>
        <w:spacing w:line="276" w:lineRule="auto"/>
        <w:ind w:right="4"/>
        <w:rPr>
          <w:rFonts w:asciiTheme="minorHAnsi" w:hAnsiTheme="minorHAnsi" w:cstheme="minorHAnsi"/>
          <w:sz w:val="24"/>
          <w:szCs w:val="28"/>
        </w:rPr>
      </w:pPr>
      <w:r>
        <w:rPr>
          <w:rFonts w:asciiTheme="minorHAnsi" w:hAnsiTheme="minorHAnsi"/>
          <w:bCs/>
          <w:color w:val="000000"/>
          <w:sz w:val="24"/>
          <w:szCs w:val="28"/>
        </w:rPr>
        <w:t xml:space="preserve">Cette étude consistait en une phase après la campagne qui a été administrée entre le 7 et le 15 mars 2022. </w:t>
      </w:r>
      <w:r>
        <w:rPr>
          <w:rFonts w:asciiTheme="minorHAnsi" w:hAnsiTheme="minorHAnsi"/>
          <w:sz w:val="24"/>
          <w:szCs w:val="28"/>
        </w:rPr>
        <w:t>Les invitations aux sondages et les rappels ont été transmis aux membres du panel au cours de la période de collecte de données. Le travail sur le terrain était surveillé et examiné de façon continue pour veiller à ce que les quotas cibles soient atteints. Narrative Research a tenu les représentants de l</w:t>
      </w:r>
      <w:r w:rsidR="00863EDF">
        <w:rPr>
          <w:rFonts w:asciiTheme="minorHAnsi" w:hAnsiTheme="minorHAnsi"/>
          <w:sz w:val="24"/>
          <w:szCs w:val="28"/>
        </w:rPr>
        <w:t>’</w:t>
      </w:r>
      <w:r>
        <w:rPr>
          <w:rFonts w:asciiTheme="minorHAnsi" w:hAnsiTheme="minorHAnsi"/>
          <w:sz w:val="24"/>
          <w:szCs w:val="28"/>
        </w:rPr>
        <w:t>Agence au courant des progrès accomplis par l</w:t>
      </w:r>
      <w:r w:rsidR="00863EDF">
        <w:rPr>
          <w:rFonts w:asciiTheme="minorHAnsi" w:hAnsiTheme="minorHAnsi"/>
          <w:sz w:val="24"/>
          <w:szCs w:val="28"/>
        </w:rPr>
        <w:t>’</w:t>
      </w:r>
      <w:r>
        <w:rPr>
          <w:rFonts w:asciiTheme="minorHAnsi" w:hAnsiTheme="minorHAnsi"/>
          <w:sz w:val="24"/>
          <w:szCs w:val="28"/>
        </w:rPr>
        <w:t>intermédiaire de rapports réguliers sur demande et selon ce qui avait été prévu. Aucune personne n</w:t>
      </w:r>
      <w:r w:rsidR="00863EDF">
        <w:rPr>
          <w:rFonts w:asciiTheme="minorHAnsi" w:hAnsiTheme="minorHAnsi"/>
          <w:sz w:val="24"/>
          <w:szCs w:val="28"/>
        </w:rPr>
        <w:t>’</w:t>
      </w:r>
      <w:r>
        <w:rPr>
          <w:rFonts w:asciiTheme="minorHAnsi" w:hAnsiTheme="minorHAnsi"/>
          <w:sz w:val="24"/>
          <w:szCs w:val="28"/>
        </w:rPr>
        <w:t>a été en mesure de remplir le questionnaire du sondage plus d</w:t>
      </w:r>
      <w:r w:rsidR="00863EDF">
        <w:rPr>
          <w:rFonts w:asciiTheme="minorHAnsi" w:hAnsiTheme="minorHAnsi"/>
          <w:sz w:val="24"/>
          <w:szCs w:val="28"/>
        </w:rPr>
        <w:t>’</w:t>
      </w:r>
      <w:r>
        <w:rPr>
          <w:rFonts w:asciiTheme="minorHAnsi" w:hAnsiTheme="minorHAnsi"/>
          <w:sz w:val="24"/>
          <w:szCs w:val="28"/>
        </w:rPr>
        <w:t xml:space="preserve">une fois. </w:t>
      </w:r>
    </w:p>
    <w:p w14:paraId="4E387E79" w14:textId="77777777" w:rsidR="00311FA6" w:rsidRPr="009977FC" w:rsidRDefault="00311FA6" w:rsidP="0096505A">
      <w:pPr>
        <w:ind w:right="-279"/>
        <w:rPr>
          <w:rFonts w:asciiTheme="minorHAnsi" w:hAnsiTheme="minorHAnsi" w:cstheme="minorHAnsi"/>
          <w:sz w:val="24"/>
          <w:szCs w:val="28"/>
        </w:rPr>
      </w:pPr>
    </w:p>
    <w:p w14:paraId="2FB0A50D" w14:textId="2DA014D3" w:rsidR="00311FA6" w:rsidRPr="009977FC" w:rsidRDefault="0096505A" w:rsidP="0096505A">
      <w:pPr>
        <w:spacing w:line="276" w:lineRule="auto"/>
        <w:ind w:right="-279"/>
        <w:rPr>
          <w:rFonts w:asciiTheme="minorHAnsi" w:hAnsiTheme="minorHAnsi" w:cstheme="minorHAnsi"/>
          <w:sz w:val="24"/>
          <w:szCs w:val="28"/>
        </w:rPr>
      </w:pPr>
      <w:r>
        <w:rPr>
          <w:rFonts w:asciiTheme="minorHAnsi" w:hAnsiTheme="minorHAnsi"/>
          <w:sz w:val="24"/>
          <w:szCs w:val="28"/>
        </w:rPr>
        <w:t>Un total de 2 086 sondages ont été soumis par les répondants, et 2 002 sondages ont ultimement été utilisés dans l</w:t>
      </w:r>
      <w:r w:rsidR="00863EDF">
        <w:rPr>
          <w:rFonts w:asciiTheme="minorHAnsi" w:hAnsiTheme="minorHAnsi"/>
          <w:sz w:val="24"/>
          <w:szCs w:val="28"/>
        </w:rPr>
        <w:t>’</w:t>
      </w:r>
      <w:r>
        <w:rPr>
          <w:rFonts w:asciiTheme="minorHAnsi" w:hAnsiTheme="minorHAnsi"/>
          <w:sz w:val="24"/>
          <w:szCs w:val="28"/>
        </w:rPr>
        <w:t>ensemble de données définitif du sondage de la phase suivant la campagne. Il est important de noter que, pour diverses raisons, il arrive souvent qu</w:t>
      </w:r>
      <w:r w:rsidR="00863EDF">
        <w:rPr>
          <w:rFonts w:asciiTheme="minorHAnsi" w:hAnsiTheme="minorHAnsi"/>
          <w:sz w:val="24"/>
          <w:szCs w:val="28"/>
        </w:rPr>
        <w:t>’</w:t>
      </w:r>
      <w:r>
        <w:rPr>
          <w:rFonts w:asciiTheme="minorHAnsi" w:hAnsiTheme="minorHAnsi"/>
          <w:sz w:val="24"/>
          <w:szCs w:val="28"/>
        </w:rPr>
        <w:t>un petit pourcentage des sondages en ligne soit retiré des ensembles de données après l</w:t>
      </w:r>
      <w:r w:rsidR="00863EDF">
        <w:rPr>
          <w:rFonts w:asciiTheme="minorHAnsi" w:hAnsiTheme="minorHAnsi"/>
          <w:sz w:val="24"/>
          <w:szCs w:val="28"/>
        </w:rPr>
        <w:t>’</w:t>
      </w:r>
      <w:r>
        <w:rPr>
          <w:rFonts w:asciiTheme="minorHAnsi" w:hAnsiTheme="minorHAnsi"/>
          <w:sz w:val="24"/>
          <w:szCs w:val="28"/>
        </w:rPr>
        <w:t>envoi. En effet, c</w:t>
      </w:r>
      <w:r w:rsidR="00863EDF">
        <w:rPr>
          <w:rFonts w:asciiTheme="minorHAnsi" w:hAnsiTheme="minorHAnsi"/>
          <w:sz w:val="24"/>
          <w:szCs w:val="28"/>
        </w:rPr>
        <w:t>’</w:t>
      </w:r>
      <w:r>
        <w:rPr>
          <w:rFonts w:asciiTheme="minorHAnsi" w:hAnsiTheme="minorHAnsi"/>
          <w:sz w:val="24"/>
          <w:szCs w:val="28"/>
        </w:rPr>
        <w:t xml:space="preserve">est le cas pour cette phase, étant donné que les quotas cibles initiaux de Narrative Research dans chacune des phases étaient supérieurs aux exigences finales, qui ne demandaient que 2 000 questionnaires par phase. </w:t>
      </w:r>
    </w:p>
    <w:p w14:paraId="26B8ABA8" w14:textId="77777777" w:rsidR="00311FA6" w:rsidRPr="009977FC" w:rsidRDefault="00311FA6" w:rsidP="0096505A">
      <w:pPr>
        <w:ind w:right="-279"/>
        <w:rPr>
          <w:rFonts w:asciiTheme="minorHAnsi" w:hAnsiTheme="minorHAnsi" w:cstheme="minorHAnsi"/>
          <w:sz w:val="24"/>
          <w:szCs w:val="28"/>
        </w:rPr>
      </w:pPr>
    </w:p>
    <w:p w14:paraId="331ABF0C" w14:textId="77777777" w:rsidR="0090343C" w:rsidRDefault="0090343C">
      <w:pPr>
        <w:rPr>
          <w:rFonts w:asciiTheme="minorHAnsi" w:hAnsiTheme="minorHAnsi"/>
          <w:sz w:val="24"/>
          <w:szCs w:val="28"/>
        </w:rPr>
      </w:pPr>
      <w:r>
        <w:rPr>
          <w:rFonts w:asciiTheme="minorHAnsi" w:hAnsiTheme="minorHAnsi"/>
          <w:sz w:val="24"/>
          <w:szCs w:val="28"/>
        </w:rPr>
        <w:br w:type="page"/>
      </w:r>
    </w:p>
    <w:p w14:paraId="6B87D711" w14:textId="1CCE5836" w:rsidR="00311FA6" w:rsidRPr="009977FC" w:rsidRDefault="0096505A" w:rsidP="0096505A">
      <w:pPr>
        <w:spacing w:line="276" w:lineRule="auto"/>
        <w:ind w:right="-279"/>
        <w:rPr>
          <w:rFonts w:asciiTheme="minorHAnsi" w:hAnsiTheme="minorHAnsi" w:cstheme="minorHAnsi"/>
          <w:sz w:val="24"/>
          <w:szCs w:val="28"/>
        </w:rPr>
      </w:pPr>
      <w:r>
        <w:rPr>
          <w:rFonts w:asciiTheme="minorHAnsi" w:hAnsiTheme="minorHAnsi"/>
          <w:sz w:val="24"/>
          <w:szCs w:val="28"/>
        </w:rPr>
        <w:t>Il s</w:t>
      </w:r>
      <w:r w:rsidR="00863EDF">
        <w:rPr>
          <w:rFonts w:asciiTheme="minorHAnsi" w:hAnsiTheme="minorHAnsi"/>
          <w:sz w:val="24"/>
          <w:szCs w:val="28"/>
        </w:rPr>
        <w:t>’</w:t>
      </w:r>
      <w:r>
        <w:rPr>
          <w:rFonts w:asciiTheme="minorHAnsi" w:hAnsiTheme="minorHAnsi"/>
          <w:sz w:val="24"/>
          <w:szCs w:val="28"/>
        </w:rPr>
        <w:t>agissait là d</w:t>
      </w:r>
      <w:r w:rsidR="00863EDF">
        <w:rPr>
          <w:rFonts w:asciiTheme="minorHAnsi" w:hAnsiTheme="minorHAnsi"/>
          <w:sz w:val="24"/>
          <w:szCs w:val="28"/>
        </w:rPr>
        <w:t>’</w:t>
      </w:r>
      <w:r>
        <w:rPr>
          <w:rFonts w:asciiTheme="minorHAnsi" w:hAnsiTheme="minorHAnsi"/>
          <w:sz w:val="24"/>
          <w:szCs w:val="28"/>
        </w:rPr>
        <w:t>une mesure de précaution qu</w:t>
      </w:r>
      <w:r w:rsidR="00863EDF">
        <w:rPr>
          <w:rFonts w:asciiTheme="minorHAnsi" w:hAnsiTheme="minorHAnsi"/>
          <w:sz w:val="24"/>
          <w:szCs w:val="28"/>
        </w:rPr>
        <w:t>’</w:t>
      </w:r>
      <w:r>
        <w:rPr>
          <w:rFonts w:asciiTheme="minorHAnsi" w:hAnsiTheme="minorHAnsi"/>
          <w:sz w:val="24"/>
          <w:szCs w:val="28"/>
        </w:rPr>
        <w:t>a prise Narrative Research au cas où certains des sondages devaient être éliminés après la collecte de données. Les raisons de la suppression des sondages comprenaient en fin de compte les répondants qui ont systématiquement fourni des réponses non intelligibles, ainsi que des ID en double. Par conséquent, dans l</w:t>
      </w:r>
      <w:r w:rsidR="00863EDF">
        <w:rPr>
          <w:rFonts w:asciiTheme="minorHAnsi" w:hAnsiTheme="minorHAnsi"/>
          <w:sz w:val="24"/>
          <w:szCs w:val="28"/>
        </w:rPr>
        <w:t>’</w:t>
      </w:r>
      <w:r>
        <w:rPr>
          <w:rFonts w:asciiTheme="minorHAnsi" w:hAnsiTheme="minorHAnsi"/>
          <w:sz w:val="24"/>
          <w:szCs w:val="28"/>
        </w:rPr>
        <w:t>ensemble, un petit nombre (n = 44) a été supprimé. Les sondages après la campagne ont nécessité en moyenne sept minutes. L</w:t>
      </w:r>
      <w:r w:rsidR="00863EDF">
        <w:rPr>
          <w:rFonts w:asciiTheme="minorHAnsi" w:hAnsiTheme="minorHAnsi"/>
          <w:sz w:val="24"/>
          <w:szCs w:val="28"/>
        </w:rPr>
        <w:t>’</w:t>
      </w:r>
      <w:r>
        <w:rPr>
          <w:rFonts w:asciiTheme="minorHAnsi" w:hAnsiTheme="minorHAnsi"/>
          <w:sz w:val="24"/>
          <w:szCs w:val="28"/>
        </w:rPr>
        <w:t>étude devant être menée auprès de membres d</w:t>
      </w:r>
      <w:r w:rsidR="00863EDF">
        <w:rPr>
          <w:rFonts w:asciiTheme="minorHAnsi" w:hAnsiTheme="minorHAnsi"/>
          <w:sz w:val="24"/>
          <w:szCs w:val="28"/>
        </w:rPr>
        <w:t>’</w:t>
      </w:r>
      <w:r>
        <w:rPr>
          <w:rFonts w:asciiTheme="minorHAnsi" w:hAnsiTheme="minorHAnsi"/>
          <w:sz w:val="24"/>
          <w:szCs w:val="28"/>
        </w:rPr>
        <w:t>un panel en ligne faisant partie du grand public canadien, une approche d</w:t>
      </w:r>
      <w:r w:rsidR="00863EDF">
        <w:rPr>
          <w:rFonts w:asciiTheme="minorHAnsi" w:hAnsiTheme="minorHAnsi"/>
          <w:sz w:val="24"/>
          <w:szCs w:val="28"/>
        </w:rPr>
        <w:t>’</w:t>
      </w:r>
      <w:r>
        <w:rPr>
          <w:rFonts w:asciiTheme="minorHAnsi" w:hAnsiTheme="minorHAnsi"/>
          <w:sz w:val="24"/>
          <w:szCs w:val="28"/>
        </w:rPr>
        <w:t>échantillonnage non probabiliste a été employée. Effectivement, par leur nature même, ces panels ne sont pas probabilistes : au lieu d</w:t>
      </w:r>
      <w:r w:rsidR="00863EDF">
        <w:rPr>
          <w:rFonts w:asciiTheme="minorHAnsi" w:hAnsiTheme="minorHAnsi"/>
          <w:sz w:val="24"/>
          <w:szCs w:val="28"/>
        </w:rPr>
        <w:t>’</w:t>
      </w:r>
      <w:r>
        <w:rPr>
          <w:rFonts w:asciiTheme="minorHAnsi" w:hAnsiTheme="minorHAnsi"/>
          <w:sz w:val="24"/>
          <w:szCs w:val="28"/>
        </w:rPr>
        <w:t>inclure l</w:t>
      </w:r>
      <w:r w:rsidR="00863EDF">
        <w:rPr>
          <w:rFonts w:asciiTheme="minorHAnsi" w:hAnsiTheme="minorHAnsi"/>
          <w:sz w:val="24"/>
          <w:szCs w:val="28"/>
        </w:rPr>
        <w:t>’</w:t>
      </w:r>
      <w:r>
        <w:rPr>
          <w:rFonts w:asciiTheme="minorHAnsi" w:hAnsiTheme="minorHAnsi"/>
          <w:sz w:val="24"/>
          <w:szCs w:val="28"/>
        </w:rPr>
        <w:t>ensemble des adultes du Canada, ils n</w:t>
      </w:r>
      <w:r w:rsidR="00863EDF">
        <w:rPr>
          <w:rFonts w:asciiTheme="minorHAnsi" w:hAnsiTheme="minorHAnsi"/>
          <w:sz w:val="24"/>
          <w:szCs w:val="28"/>
        </w:rPr>
        <w:t>’</w:t>
      </w:r>
      <w:r>
        <w:rPr>
          <w:rFonts w:asciiTheme="minorHAnsi" w:hAnsiTheme="minorHAnsi"/>
          <w:sz w:val="24"/>
          <w:szCs w:val="28"/>
        </w:rPr>
        <w:t>incluent que des gens qui ont décidé eux-mêmes de devenir membres. Les tableaux ci-dessous relatifs au sondage après la campagne présentent les données sur les régions, le sexe, le statut d</w:t>
      </w:r>
      <w:r w:rsidR="00863EDF">
        <w:rPr>
          <w:rFonts w:asciiTheme="minorHAnsi" w:hAnsiTheme="minorHAnsi"/>
          <w:sz w:val="24"/>
          <w:szCs w:val="28"/>
        </w:rPr>
        <w:t>’</w:t>
      </w:r>
      <w:r>
        <w:rPr>
          <w:rFonts w:asciiTheme="minorHAnsi" w:hAnsiTheme="minorHAnsi"/>
          <w:sz w:val="24"/>
          <w:szCs w:val="28"/>
        </w:rPr>
        <w:t>immigrant et l</w:t>
      </w:r>
      <w:r w:rsidR="00863EDF">
        <w:rPr>
          <w:rFonts w:asciiTheme="minorHAnsi" w:hAnsiTheme="minorHAnsi"/>
          <w:sz w:val="24"/>
          <w:szCs w:val="28"/>
        </w:rPr>
        <w:t>’</w:t>
      </w:r>
      <w:r>
        <w:rPr>
          <w:rFonts w:asciiTheme="minorHAnsi" w:hAnsiTheme="minorHAnsi"/>
          <w:sz w:val="24"/>
          <w:szCs w:val="28"/>
        </w:rPr>
        <w:t>âge en ce qui a trait à la répartition réelle des Canadiens adultes âgés de 18 ans et plus, tel qu</w:t>
      </w:r>
      <w:r w:rsidR="00863EDF">
        <w:rPr>
          <w:rFonts w:asciiTheme="minorHAnsi" w:hAnsiTheme="minorHAnsi"/>
          <w:sz w:val="24"/>
          <w:szCs w:val="28"/>
        </w:rPr>
        <w:t>’</w:t>
      </w:r>
      <w:r>
        <w:rPr>
          <w:rFonts w:asciiTheme="minorHAnsi" w:hAnsiTheme="minorHAnsi"/>
          <w:sz w:val="24"/>
          <w:szCs w:val="28"/>
        </w:rPr>
        <w:t xml:space="preserve">il est répertorié dans le recensement de 2016 de Statistique Canada. </w:t>
      </w:r>
    </w:p>
    <w:p w14:paraId="55528EF3" w14:textId="77777777" w:rsidR="00311FA6" w:rsidRPr="009977FC" w:rsidRDefault="00311FA6" w:rsidP="0096505A">
      <w:pPr>
        <w:ind w:right="-279"/>
        <w:rPr>
          <w:rFonts w:asciiTheme="minorHAnsi" w:hAnsiTheme="minorHAnsi" w:cstheme="minorHAnsi"/>
          <w:sz w:val="24"/>
          <w:szCs w:val="28"/>
        </w:rPr>
      </w:pPr>
    </w:p>
    <w:p w14:paraId="32039C8D" w14:textId="790B671E" w:rsidR="00311FA6" w:rsidRPr="009977FC" w:rsidRDefault="0096505A" w:rsidP="0096505A">
      <w:pPr>
        <w:spacing w:line="276" w:lineRule="auto"/>
        <w:ind w:right="-279"/>
        <w:rPr>
          <w:rFonts w:asciiTheme="minorHAnsi" w:hAnsiTheme="minorHAnsi" w:cstheme="minorHAnsi"/>
          <w:sz w:val="24"/>
          <w:szCs w:val="28"/>
        </w:rPr>
      </w:pPr>
      <w:r>
        <w:rPr>
          <w:rFonts w:asciiTheme="minorHAnsi" w:hAnsiTheme="minorHAnsi"/>
          <w:sz w:val="24"/>
          <w:szCs w:val="28"/>
        </w:rPr>
        <w:t>De plus, les cibles approximatives en matière de quotas de région, de sexe et d</w:t>
      </w:r>
      <w:r w:rsidR="00863EDF">
        <w:rPr>
          <w:rFonts w:asciiTheme="minorHAnsi" w:hAnsiTheme="minorHAnsi"/>
          <w:sz w:val="24"/>
          <w:szCs w:val="28"/>
        </w:rPr>
        <w:t>’</w:t>
      </w:r>
      <w:r>
        <w:rPr>
          <w:rFonts w:asciiTheme="minorHAnsi" w:hAnsiTheme="minorHAnsi"/>
          <w:sz w:val="24"/>
          <w:szCs w:val="28"/>
        </w:rPr>
        <w:t>âge par phase sont détaillées (tant en ce qui concerne le nombre réel de sondages réalisés que le pourcentage de tous les sondages réalisés). (Veuillez noter que pour le statut d</w:t>
      </w:r>
      <w:r w:rsidR="00863EDF">
        <w:rPr>
          <w:rFonts w:asciiTheme="minorHAnsi" w:hAnsiTheme="minorHAnsi"/>
          <w:sz w:val="24"/>
          <w:szCs w:val="28"/>
        </w:rPr>
        <w:t>’</w:t>
      </w:r>
      <w:r>
        <w:rPr>
          <w:rFonts w:asciiTheme="minorHAnsi" w:hAnsiTheme="minorHAnsi"/>
          <w:sz w:val="24"/>
          <w:szCs w:val="28"/>
        </w:rPr>
        <w:t>immigrant, un quota a été mis en œuvre seulement pour les immigrants récents.) Les tableaux des pages suivantes présentent les données en chiffres pondérés et non pondérés, ainsi qu</w:t>
      </w:r>
      <w:r w:rsidR="00863EDF">
        <w:rPr>
          <w:rFonts w:asciiTheme="minorHAnsi" w:hAnsiTheme="minorHAnsi"/>
          <w:sz w:val="24"/>
          <w:szCs w:val="28"/>
        </w:rPr>
        <w:t>’</w:t>
      </w:r>
      <w:r>
        <w:rPr>
          <w:rFonts w:asciiTheme="minorHAnsi" w:hAnsiTheme="minorHAnsi"/>
          <w:sz w:val="24"/>
          <w:szCs w:val="28"/>
        </w:rPr>
        <w:t>en pourcentage par rapport à l</w:t>
      </w:r>
      <w:r w:rsidR="00863EDF">
        <w:rPr>
          <w:rFonts w:asciiTheme="minorHAnsi" w:hAnsiTheme="minorHAnsi"/>
          <w:sz w:val="24"/>
          <w:szCs w:val="28"/>
        </w:rPr>
        <w:t>’</w:t>
      </w:r>
      <w:r>
        <w:rPr>
          <w:rFonts w:asciiTheme="minorHAnsi" w:hAnsiTheme="minorHAnsi"/>
          <w:sz w:val="24"/>
          <w:szCs w:val="28"/>
        </w:rPr>
        <w:t>ensemble des sondages recueillis pour les dimensions démographiques pertinentes de chaque phase.</w:t>
      </w:r>
    </w:p>
    <w:p w14:paraId="514109CC" w14:textId="3FBA361F" w:rsidR="00311FA6" w:rsidRPr="009977FC" w:rsidRDefault="0096505A" w:rsidP="0096505A">
      <w:pPr>
        <w:spacing w:line="276" w:lineRule="auto"/>
        <w:ind w:right="-138"/>
        <w:rPr>
          <w:rFonts w:asciiTheme="minorHAnsi" w:hAnsiTheme="minorHAnsi" w:cstheme="minorHAnsi"/>
          <w:sz w:val="24"/>
          <w:szCs w:val="28"/>
        </w:rPr>
      </w:pPr>
      <w:r>
        <w:rPr>
          <w:rFonts w:asciiTheme="minorHAnsi" w:hAnsiTheme="minorHAnsi"/>
          <w:b/>
          <w:sz w:val="24"/>
          <w:szCs w:val="28"/>
        </w:rPr>
        <w:t>Mise en tableau des données</w:t>
      </w:r>
      <w:r>
        <w:rPr>
          <w:rFonts w:asciiTheme="minorHAnsi" w:hAnsiTheme="minorHAnsi"/>
          <w:sz w:val="24"/>
          <w:szCs w:val="28"/>
        </w:rPr>
        <w:t> : Pour les deux phases, il y a eu un total de 30 cellules de pondération statistique qui se chevauchent ou qui ont été créées à partir de la conception de l</w:t>
      </w:r>
      <w:r w:rsidR="00863EDF">
        <w:rPr>
          <w:rFonts w:asciiTheme="minorHAnsi" w:hAnsiTheme="minorHAnsi"/>
          <w:sz w:val="24"/>
          <w:szCs w:val="28"/>
        </w:rPr>
        <w:t>’</w:t>
      </w:r>
      <w:r>
        <w:rPr>
          <w:rFonts w:asciiTheme="minorHAnsi" w:hAnsiTheme="minorHAnsi"/>
          <w:sz w:val="24"/>
          <w:szCs w:val="28"/>
        </w:rPr>
        <w:t>étude à l</w:t>
      </w:r>
      <w:r w:rsidR="00863EDF">
        <w:rPr>
          <w:rFonts w:asciiTheme="minorHAnsi" w:hAnsiTheme="minorHAnsi"/>
          <w:sz w:val="24"/>
          <w:szCs w:val="28"/>
        </w:rPr>
        <w:t>’</w:t>
      </w:r>
      <w:r>
        <w:rPr>
          <w:rFonts w:asciiTheme="minorHAnsi" w:hAnsiTheme="minorHAnsi"/>
          <w:sz w:val="24"/>
          <w:szCs w:val="28"/>
        </w:rPr>
        <w:t>aide des facteurs de pondération de la région (5 : Atlantique, Québec, Ontario, Prairies et Colombie-Britannique/Nord); du groupe d</w:t>
      </w:r>
      <w:r w:rsidR="00863EDF">
        <w:rPr>
          <w:rFonts w:asciiTheme="minorHAnsi" w:hAnsiTheme="minorHAnsi"/>
          <w:sz w:val="24"/>
          <w:szCs w:val="28"/>
        </w:rPr>
        <w:t>’</w:t>
      </w:r>
      <w:r>
        <w:rPr>
          <w:rFonts w:asciiTheme="minorHAnsi" w:hAnsiTheme="minorHAnsi"/>
          <w:sz w:val="24"/>
          <w:szCs w:val="28"/>
        </w:rPr>
        <w:t xml:space="preserve">âge (3 : 18 à 34 ans, 35 à 59 ans, 60 ans et plus); et du sexe (2 : hommes, femmes). </w:t>
      </w:r>
    </w:p>
    <w:p w14:paraId="4721C9AD" w14:textId="77777777" w:rsidR="00311FA6" w:rsidRPr="009977FC" w:rsidRDefault="00311FA6" w:rsidP="0096505A">
      <w:pPr>
        <w:spacing w:line="276" w:lineRule="auto"/>
        <w:ind w:right="-138"/>
        <w:rPr>
          <w:rFonts w:asciiTheme="minorHAnsi" w:hAnsiTheme="minorHAnsi" w:cstheme="minorHAnsi"/>
          <w:sz w:val="24"/>
          <w:szCs w:val="28"/>
        </w:rPr>
      </w:pPr>
    </w:p>
    <w:p w14:paraId="7BEE1C9E" w14:textId="77777777" w:rsidR="0090343C" w:rsidRDefault="0090343C">
      <w:pPr>
        <w:rPr>
          <w:rFonts w:asciiTheme="minorHAnsi" w:hAnsiTheme="minorHAnsi"/>
          <w:sz w:val="24"/>
          <w:szCs w:val="28"/>
        </w:rPr>
      </w:pPr>
      <w:r>
        <w:rPr>
          <w:rFonts w:asciiTheme="minorHAnsi" w:hAnsiTheme="minorHAnsi"/>
          <w:sz w:val="24"/>
          <w:szCs w:val="28"/>
        </w:rPr>
        <w:br w:type="page"/>
      </w:r>
    </w:p>
    <w:p w14:paraId="79FD6295" w14:textId="24200860" w:rsidR="00311FA6" w:rsidRPr="009977FC" w:rsidRDefault="0096505A" w:rsidP="0096505A">
      <w:pPr>
        <w:spacing w:line="276" w:lineRule="auto"/>
        <w:ind w:right="-138"/>
        <w:rPr>
          <w:rFonts w:asciiTheme="minorHAnsi" w:hAnsiTheme="minorHAnsi" w:cstheme="minorHAnsi"/>
          <w:sz w:val="24"/>
          <w:szCs w:val="28"/>
        </w:rPr>
      </w:pPr>
      <w:r>
        <w:rPr>
          <w:rFonts w:asciiTheme="minorHAnsi" w:hAnsiTheme="minorHAnsi"/>
          <w:sz w:val="24"/>
          <w:szCs w:val="28"/>
        </w:rPr>
        <w:t>Le total de 30 cellules de pondération statistique différentes qui se chevauchent est atteint quand l</w:t>
      </w:r>
      <w:r w:rsidR="00863EDF">
        <w:rPr>
          <w:rFonts w:asciiTheme="minorHAnsi" w:hAnsiTheme="minorHAnsi"/>
          <w:sz w:val="24"/>
          <w:szCs w:val="28"/>
        </w:rPr>
        <w:t>’</w:t>
      </w:r>
      <w:r>
        <w:rPr>
          <w:rFonts w:asciiTheme="minorHAnsi" w:hAnsiTheme="minorHAnsi"/>
          <w:sz w:val="24"/>
          <w:szCs w:val="28"/>
        </w:rPr>
        <w:t>on multiplie le nombre de catégories de région (5) x groupe d</w:t>
      </w:r>
      <w:r w:rsidR="00863EDF">
        <w:rPr>
          <w:rFonts w:asciiTheme="minorHAnsi" w:hAnsiTheme="minorHAnsi"/>
          <w:sz w:val="24"/>
          <w:szCs w:val="28"/>
        </w:rPr>
        <w:t>’</w:t>
      </w:r>
      <w:r>
        <w:rPr>
          <w:rFonts w:asciiTheme="minorHAnsi" w:hAnsiTheme="minorHAnsi"/>
          <w:sz w:val="24"/>
          <w:szCs w:val="28"/>
        </w:rPr>
        <w:t>âge (3) x sexe (2) = 30. Les participants ont ensuite été pondérés en fonction des aspects suivants : non-immigrants, immigrants qui étaient au Canada depuis cinq ans ou plus, ou immigrants récents (moins de cinq ans). Les données sur la population pour les 30 cellules de pondération statistique et les pondérations en matière d</w:t>
      </w:r>
      <w:r w:rsidR="00863EDF">
        <w:rPr>
          <w:rFonts w:asciiTheme="minorHAnsi" w:hAnsiTheme="minorHAnsi"/>
          <w:sz w:val="24"/>
          <w:szCs w:val="28"/>
        </w:rPr>
        <w:t>’</w:t>
      </w:r>
      <w:r>
        <w:rPr>
          <w:rFonts w:asciiTheme="minorHAnsi" w:hAnsiTheme="minorHAnsi"/>
          <w:sz w:val="24"/>
          <w:szCs w:val="28"/>
        </w:rPr>
        <w:t>immigration sont tirées du plus récent recensement canadien (2016) et peuvent être consultées ici :</w:t>
      </w:r>
    </w:p>
    <w:p w14:paraId="08BBEB56" w14:textId="77777777" w:rsidR="00311FA6" w:rsidRPr="009977FC" w:rsidRDefault="00311FA6" w:rsidP="0096505A">
      <w:pPr>
        <w:spacing w:line="276" w:lineRule="auto"/>
        <w:rPr>
          <w:rFonts w:asciiTheme="minorHAnsi" w:hAnsiTheme="minorHAnsi" w:cstheme="minorHAnsi"/>
          <w:b/>
          <w:sz w:val="24"/>
          <w:szCs w:val="28"/>
          <w:lang w:eastAsia="x-none"/>
        </w:rPr>
      </w:pPr>
    </w:p>
    <w:p w14:paraId="2FC4C2DC" w14:textId="77777777" w:rsidR="00311FA6" w:rsidRPr="009977FC" w:rsidRDefault="001B19DB" w:rsidP="0096505A">
      <w:pPr>
        <w:spacing w:line="276" w:lineRule="auto"/>
        <w:rPr>
          <w:rStyle w:val="Hyperlink"/>
          <w:rFonts w:asciiTheme="minorHAnsi" w:hAnsiTheme="minorHAnsi" w:cstheme="minorHAnsi"/>
          <w:color w:val="auto"/>
          <w:sz w:val="24"/>
          <w:szCs w:val="28"/>
          <w:u w:val="none"/>
        </w:rPr>
      </w:pPr>
      <w:hyperlink r:id="rId14" w:history="1">
        <w:r w:rsidR="009977FC">
          <w:rPr>
            <w:rStyle w:val="Hyperlink"/>
            <w:rFonts w:asciiTheme="minorHAnsi" w:hAnsiTheme="minorHAnsi"/>
            <w:sz w:val="24"/>
            <w:szCs w:val="28"/>
          </w:rPr>
          <w:t>https://www12.statcan.gc.ca/census-recensement/2016/dp-pd/dt-td/Rp-fra.cfm?TABID=2&amp;LANG=F&amp;A=R&amp;APATH=3&amp;DETAIL=0&amp;DIM=0&amp;FL=V&amp;FREE=0&amp;GC=01&amp;GL=-1&amp;GID=1235625&amp;GK=1&amp;GRP=1&amp;O=D&amp;PID=109671&amp;PRID=0&amp;PTYPE=109445&amp;S=0&amp;SHOWALL=0&amp;SUB=0&amp;Temporal=2016&amp;THEME=118&amp;VID=0&amp;VNAMEE=&amp;VNAMEF=&amp;D1=0&amp;D2=0&amp;D3=0&amp;D4=0&amp;D5=0&amp;D6=0</w:t>
        </w:r>
      </w:hyperlink>
    </w:p>
    <w:p w14:paraId="2A742D0B" w14:textId="77777777" w:rsidR="00311FA6" w:rsidRPr="009977FC" w:rsidRDefault="00311FA6" w:rsidP="0096505A">
      <w:pPr>
        <w:spacing w:line="276" w:lineRule="auto"/>
        <w:rPr>
          <w:rStyle w:val="Hyperlink"/>
          <w:rFonts w:asciiTheme="minorHAnsi" w:hAnsiTheme="minorHAnsi" w:cstheme="minorHAnsi"/>
          <w:color w:val="auto"/>
          <w:sz w:val="24"/>
          <w:szCs w:val="28"/>
          <w:u w:val="none"/>
        </w:rPr>
      </w:pPr>
    </w:p>
    <w:p w14:paraId="3FCA68CF" w14:textId="5838E357"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Le nombre de cellules de pondération étant particulièrement élevé, il était nécessaire de combiner certaines d</w:t>
      </w:r>
      <w:r w:rsidR="00863EDF">
        <w:rPr>
          <w:rFonts w:asciiTheme="minorHAnsi" w:hAnsiTheme="minorHAnsi"/>
          <w:sz w:val="24"/>
          <w:szCs w:val="28"/>
        </w:rPr>
        <w:t>’</w:t>
      </w:r>
      <w:r>
        <w:rPr>
          <w:rFonts w:asciiTheme="minorHAnsi" w:hAnsiTheme="minorHAnsi"/>
          <w:sz w:val="24"/>
          <w:szCs w:val="28"/>
        </w:rPr>
        <w:t>entre elles qui étaient trop petites (voire vides), sans quoi la pondération aurait été déséquilibrée. La fusion de cellules de pondération est une approche couramment utilisée dans de telles situations, c</w:t>
      </w:r>
      <w:r w:rsidR="00863EDF">
        <w:rPr>
          <w:rFonts w:asciiTheme="minorHAnsi" w:hAnsiTheme="minorHAnsi"/>
          <w:sz w:val="24"/>
          <w:szCs w:val="28"/>
        </w:rPr>
        <w:t>’</w:t>
      </w:r>
      <w:r>
        <w:rPr>
          <w:rFonts w:asciiTheme="minorHAnsi" w:hAnsiTheme="minorHAnsi"/>
          <w:sz w:val="24"/>
          <w:szCs w:val="28"/>
        </w:rPr>
        <w:t xml:space="preserve">est ce qui explique pourquoi la distribution finale des données pondérées est légèrement différente de la distribution réelle de la population pour certaines dimensions. </w:t>
      </w:r>
    </w:p>
    <w:p w14:paraId="53239B46" w14:textId="77777777" w:rsidR="00311FA6" w:rsidRPr="009977FC" w:rsidRDefault="00311FA6" w:rsidP="0096505A">
      <w:pPr>
        <w:spacing w:line="276" w:lineRule="auto"/>
        <w:rPr>
          <w:rFonts w:asciiTheme="minorHAnsi" w:hAnsiTheme="minorHAnsi" w:cstheme="minorHAnsi"/>
          <w:sz w:val="24"/>
          <w:szCs w:val="28"/>
        </w:rPr>
      </w:pPr>
    </w:p>
    <w:p w14:paraId="206C24E5" w14:textId="618CB530" w:rsidR="00311FA6" w:rsidRPr="009977FC" w:rsidRDefault="0096505A" w:rsidP="0096505A">
      <w:pPr>
        <w:spacing w:line="276" w:lineRule="auto"/>
        <w:rPr>
          <w:rFonts w:asciiTheme="minorHAnsi" w:hAnsiTheme="minorHAnsi" w:cstheme="minorHAnsi"/>
          <w:sz w:val="24"/>
          <w:szCs w:val="28"/>
        </w:rPr>
      </w:pPr>
      <w:r>
        <w:rPr>
          <w:rFonts w:asciiTheme="minorHAnsi" w:hAnsiTheme="minorHAnsi"/>
          <w:sz w:val="24"/>
          <w:szCs w:val="28"/>
        </w:rPr>
        <w:t>Quoi qu</w:t>
      </w:r>
      <w:r w:rsidR="00863EDF">
        <w:rPr>
          <w:rFonts w:asciiTheme="minorHAnsi" w:hAnsiTheme="minorHAnsi"/>
          <w:sz w:val="24"/>
          <w:szCs w:val="28"/>
        </w:rPr>
        <w:t>’</w:t>
      </w:r>
      <w:r>
        <w:rPr>
          <w:rFonts w:asciiTheme="minorHAnsi" w:hAnsiTheme="minorHAnsi"/>
          <w:sz w:val="24"/>
          <w:szCs w:val="28"/>
        </w:rPr>
        <w:t>il en soit, l</w:t>
      </w:r>
      <w:r w:rsidR="00863EDF">
        <w:rPr>
          <w:rFonts w:asciiTheme="minorHAnsi" w:hAnsiTheme="minorHAnsi"/>
          <w:sz w:val="24"/>
          <w:szCs w:val="28"/>
        </w:rPr>
        <w:t>’</w:t>
      </w:r>
      <w:r>
        <w:rPr>
          <w:rFonts w:asciiTheme="minorHAnsi" w:hAnsiTheme="minorHAnsi"/>
          <w:sz w:val="24"/>
          <w:szCs w:val="28"/>
        </w:rPr>
        <w:t>impact quantitatif de cette approche a été jugé très modeste, ce qui explique qu</w:t>
      </w:r>
      <w:r w:rsidR="00863EDF">
        <w:rPr>
          <w:rFonts w:asciiTheme="minorHAnsi" w:hAnsiTheme="minorHAnsi"/>
          <w:sz w:val="24"/>
          <w:szCs w:val="28"/>
        </w:rPr>
        <w:t>’</w:t>
      </w:r>
      <w:r>
        <w:rPr>
          <w:rFonts w:asciiTheme="minorHAnsi" w:hAnsiTheme="minorHAnsi"/>
          <w:sz w:val="24"/>
          <w:szCs w:val="28"/>
        </w:rPr>
        <w:t>une telle approche de pondération statistique ait été jugée utile. Il convient également de noter qu</w:t>
      </w:r>
      <w:r w:rsidR="00863EDF">
        <w:rPr>
          <w:rFonts w:asciiTheme="minorHAnsi" w:hAnsiTheme="minorHAnsi"/>
          <w:sz w:val="24"/>
          <w:szCs w:val="28"/>
        </w:rPr>
        <w:t>’</w:t>
      </w:r>
      <w:r>
        <w:rPr>
          <w:rFonts w:asciiTheme="minorHAnsi" w:hAnsiTheme="minorHAnsi"/>
          <w:sz w:val="24"/>
          <w:szCs w:val="28"/>
        </w:rPr>
        <w:t>un petit nombre de personnes n</w:t>
      </w:r>
      <w:r w:rsidR="00863EDF">
        <w:rPr>
          <w:rFonts w:asciiTheme="minorHAnsi" w:hAnsiTheme="minorHAnsi"/>
          <w:sz w:val="24"/>
          <w:szCs w:val="28"/>
        </w:rPr>
        <w:t>’</w:t>
      </w:r>
      <w:r>
        <w:rPr>
          <w:rFonts w:asciiTheme="minorHAnsi" w:hAnsiTheme="minorHAnsi"/>
          <w:sz w:val="24"/>
          <w:szCs w:val="28"/>
        </w:rPr>
        <w:t>ont pas pu être placées dans l</w:t>
      </w:r>
      <w:r w:rsidR="00863EDF">
        <w:rPr>
          <w:rFonts w:asciiTheme="minorHAnsi" w:hAnsiTheme="minorHAnsi"/>
          <w:sz w:val="24"/>
          <w:szCs w:val="28"/>
        </w:rPr>
        <w:t>’</w:t>
      </w:r>
      <w:r>
        <w:rPr>
          <w:rFonts w:asciiTheme="minorHAnsi" w:hAnsiTheme="minorHAnsi"/>
          <w:sz w:val="24"/>
          <w:szCs w:val="28"/>
        </w:rPr>
        <w:t>une des 30 cellules de pondération en raison du fait qu</w:t>
      </w:r>
      <w:r w:rsidR="00863EDF">
        <w:rPr>
          <w:rFonts w:asciiTheme="minorHAnsi" w:hAnsiTheme="minorHAnsi"/>
          <w:sz w:val="24"/>
          <w:szCs w:val="28"/>
        </w:rPr>
        <w:t>’</w:t>
      </w:r>
      <w:r>
        <w:rPr>
          <w:rFonts w:asciiTheme="minorHAnsi" w:hAnsiTheme="minorHAnsi"/>
          <w:sz w:val="24"/>
          <w:szCs w:val="28"/>
        </w:rPr>
        <w:t>elles ont été identifiées comme étant de genre divers. Aux fins de mise en tableau des données, une valeur de pondération de 1,0 leur a été attribuée.</w:t>
      </w:r>
    </w:p>
    <w:p w14:paraId="6FD01EF5" w14:textId="77777777" w:rsidR="00311FA6" w:rsidRPr="009977FC" w:rsidRDefault="00311FA6" w:rsidP="0096505A">
      <w:pPr>
        <w:spacing w:line="276" w:lineRule="auto"/>
        <w:rPr>
          <w:rFonts w:asciiTheme="minorHAnsi" w:hAnsiTheme="minorHAnsi" w:cstheme="minorHAnsi"/>
          <w:sz w:val="24"/>
          <w:szCs w:val="28"/>
          <w:lang w:eastAsia="x-none"/>
        </w:rPr>
      </w:pPr>
    </w:p>
    <w:p w14:paraId="301DE91A" w14:textId="77777777" w:rsidR="00311FA6" w:rsidRPr="00FA1893" w:rsidRDefault="0096505A" w:rsidP="0096505A">
      <w:pPr>
        <w:spacing w:line="276" w:lineRule="auto"/>
        <w:rPr>
          <w:rFonts w:asciiTheme="minorHAnsi" w:hAnsiTheme="minorHAnsi" w:cstheme="minorHAnsi"/>
          <w:bCs/>
          <w:color w:val="23B2BE"/>
          <w:sz w:val="28"/>
          <w:szCs w:val="28"/>
        </w:rPr>
      </w:pPr>
      <w:r w:rsidRPr="00FA1893">
        <w:rPr>
          <w:rFonts w:asciiTheme="minorHAnsi" w:hAnsiTheme="minorHAnsi"/>
          <w:bCs/>
          <w:color w:val="23B2BE"/>
          <w:sz w:val="28"/>
          <w:szCs w:val="28"/>
        </w:rPr>
        <w:t>Phase après la campagne (mars 2022)</w:t>
      </w:r>
    </w:p>
    <w:p w14:paraId="06845FB8" w14:textId="77777777" w:rsidR="00311FA6" w:rsidRPr="009977FC" w:rsidRDefault="00311FA6" w:rsidP="0096505A">
      <w:pPr>
        <w:spacing w:line="276" w:lineRule="auto"/>
        <w:rPr>
          <w:rFonts w:asciiTheme="minorHAnsi" w:hAnsiTheme="minorHAnsi" w:cstheme="minorHAnsi"/>
          <w:b/>
          <w:color w:val="23B2BE"/>
          <w:sz w:val="24"/>
          <w:szCs w:val="28"/>
          <w:lang w:eastAsia="x-none"/>
        </w:rPr>
      </w:pPr>
    </w:p>
    <w:p w14:paraId="2A80F3DD" w14:textId="7152D7FC" w:rsidR="00311FA6" w:rsidRPr="009977FC" w:rsidRDefault="0096505A" w:rsidP="0096505A">
      <w:pPr>
        <w:spacing w:line="276" w:lineRule="auto"/>
        <w:rPr>
          <w:rFonts w:asciiTheme="minorHAnsi" w:hAnsiTheme="minorHAnsi" w:cstheme="minorHAnsi"/>
          <w:b/>
          <w:color w:val="23B2BE"/>
          <w:sz w:val="24"/>
          <w:szCs w:val="28"/>
        </w:rPr>
      </w:pPr>
      <w:r>
        <w:rPr>
          <w:rFonts w:asciiTheme="minorHAnsi" w:hAnsiTheme="minorHAnsi"/>
          <w:b/>
          <w:bCs/>
          <w:sz w:val="24"/>
        </w:rPr>
        <w:t>Les pourcentages pourraient ne pas arriver exactement à 100 % en raison de l</w:t>
      </w:r>
      <w:r w:rsidR="00863EDF">
        <w:rPr>
          <w:rFonts w:asciiTheme="minorHAnsi" w:hAnsiTheme="minorHAnsi"/>
          <w:b/>
          <w:bCs/>
          <w:sz w:val="24"/>
        </w:rPr>
        <w:t>’</w:t>
      </w:r>
      <w:r>
        <w:rPr>
          <w:rFonts w:asciiTheme="minorHAnsi" w:hAnsiTheme="minorHAnsi"/>
          <w:b/>
          <w:bCs/>
          <w:sz w:val="24"/>
        </w:rPr>
        <w:t>arrondissement :</w:t>
      </w:r>
    </w:p>
    <w:p w14:paraId="30181CA9" w14:textId="77777777" w:rsidR="00311FA6" w:rsidRPr="009977FC" w:rsidRDefault="00311FA6" w:rsidP="0096505A">
      <w:pPr>
        <w:spacing w:line="276" w:lineRule="auto"/>
        <w:rPr>
          <w:rFonts w:asciiTheme="minorHAnsi" w:hAnsiTheme="minorHAnsi" w:cstheme="minorHAnsi"/>
          <w:b/>
          <w:sz w:val="24"/>
          <w:szCs w:val="28"/>
          <w:lang w:eastAsia="x-none"/>
        </w:rPr>
      </w:pPr>
    </w:p>
    <w:p w14:paraId="7808CACB" w14:textId="77777777" w:rsidR="0096505A" w:rsidRPr="009977FC" w:rsidRDefault="0096505A" w:rsidP="0096505A">
      <w:r>
        <w:br w:type="page"/>
      </w:r>
    </w:p>
    <w:tbl>
      <w:tblPr>
        <w:tblW w:w="0" w:type="auto"/>
        <w:jc w:val="center"/>
        <w:tblLayout w:type="fixed"/>
        <w:tblCellMar>
          <w:left w:w="0" w:type="dxa"/>
          <w:right w:w="0" w:type="dxa"/>
        </w:tblCellMar>
        <w:tblLook w:val="04A0" w:firstRow="1" w:lastRow="0" w:firstColumn="1" w:lastColumn="0" w:noHBand="0" w:noVBand="1"/>
      </w:tblPr>
      <w:tblGrid>
        <w:gridCol w:w="1691"/>
        <w:gridCol w:w="851"/>
        <w:gridCol w:w="850"/>
        <w:gridCol w:w="1134"/>
        <w:gridCol w:w="1276"/>
        <w:gridCol w:w="1276"/>
        <w:gridCol w:w="1134"/>
        <w:gridCol w:w="1128"/>
      </w:tblGrid>
      <w:tr w:rsidR="0096505A" w:rsidRPr="009977FC" w14:paraId="0344F75C"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tcPr>
          <w:p w14:paraId="28103BCA" w14:textId="77777777" w:rsidR="00311FA6" w:rsidRPr="0090343C" w:rsidRDefault="00311FA6" w:rsidP="00A0688F">
            <w:pPr>
              <w:spacing w:before="60" w:after="60" w:line="276" w:lineRule="auto"/>
              <w:rPr>
                <w:rFonts w:asciiTheme="minorHAnsi" w:hAnsiTheme="minorHAnsi" w:cstheme="minorHAnsi"/>
                <w:b/>
                <w:bCs/>
                <w:color w:val="FFFFFF" w:themeColor="background1"/>
                <w:szCs w:val="22"/>
                <w:highlight w:val="yellow"/>
              </w:rPr>
            </w:pPr>
          </w:p>
          <w:p w14:paraId="11D2774C" w14:textId="77777777" w:rsidR="00311FA6" w:rsidRPr="0090343C" w:rsidRDefault="00311FA6" w:rsidP="00A0688F">
            <w:pPr>
              <w:spacing w:before="60" w:after="60" w:line="276" w:lineRule="auto"/>
              <w:rPr>
                <w:rFonts w:asciiTheme="minorHAnsi" w:hAnsiTheme="minorHAnsi" w:cstheme="minorHAnsi"/>
                <w:b/>
                <w:bCs/>
                <w:color w:val="FFFFFF" w:themeColor="background1"/>
                <w:szCs w:val="22"/>
                <w:highlight w:val="yellow"/>
              </w:rPr>
            </w:pPr>
          </w:p>
          <w:p w14:paraId="4F10989C" w14:textId="5D746438" w:rsidR="0096505A" w:rsidRPr="0090343C" w:rsidRDefault="00311FA6" w:rsidP="00311FA6">
            <w:pPr>
              <w:spacing w:before="60" w:after="60" w:line="276" w:lineRule="auto"/>
              <w:rPr>
                <w:rFonts w:asciiTheme="minorHAnsi" w:hAnsiTheme="minorHAnsi" w:cstheme="minorHAnsi"/>
                <w:b/>
                <w:bCs/>
                <w:vanish/>
                <w:color w:val="FFFFFF" w:themeColor="background1"/>
                <w:szCs w:val="22"/>
                <w:highlight w:val="yellow"/>
              </w:rPr>
            </w:pPr>
            <w:r w:rsidRPr="0090343C">
              <w:rPr>
                <w:rFonts w:asciiTheme="minorHAnsi" w:hAnsiTheme="minorHAnsi"/>
                <w:b/>
                <w:bCs/>
                <w:color w:val="FFFFFF" w:themeColor="background1"/>
                <w:szCs w:val="22"/>
              </w:rPr>
              <w:t>Région</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523759F4" w14:textId="77777777" w:rsidR="00311FA6" w:rsidRPr="0090343C" w:rsidRDefault="00311FA6" w:rsidP="00A0688F">
            <w:pPr>
              <w:spacing w:before="60" w:after="60" w:line="276" w:lineRule="auto"/>
              <w:jc w:val="center"/>
              <w:rPr>
                <w:rFonts w:asciiTheme="minorHAnsi" w:hAnsiTheme="minorHAnsi" w:cstheme="minorHAnsi"/>
                <w:b/>
                <w:bCs/>
                <w:color w:val="FFFFFF" w:themeColor="background1"/>
                <w:sz w:val="18"/>
                <w:szCs w:val="18"/>
                <w:highlight w:val="yellow"/>
              </w:rPr>
            </w:pPr>
          </w:p>
          <w:p w14:paraId="3082BA16" w14:textId="77777777" w:rsidR="00311FA6" w:rsidRPr="0090343C" w:rsidRDefault="00311FA6" w:rsidP="00A0688F">
            <w:pPr>
              <w:spacing w:before="60" w:after="60" w:line="276" w:lineRule="auto"/>
              <w:jc w:val="center"/>
              <w:rPr>
                <w:rFonts w:asciiTheme="minorHAnsi" w:hAnsiTheme="minorHAnsi" w:cstheme="minorHAnsi"/>
                <w:b/>
                <w:bCs/>
                <w:color w:val="FFFFFF" w:themeColor="background1"/>
                <w:sz w:val="18"/>
                <w:szCs w:val="18"/>
                <w:highlight w:val="yellow"/>
              </w:rPr>
            </w:pPr>
          </w:p>
          <w:p w14:paraId="3FEF1C72" w14:textId="2082A9DC" w:rsidR="0096505A" w:rsidRPr="0090343C" w:rsidRDefault="00311FA6" w:rsidP="007A559C">
            <w:pPr>
              <w:spacing w:before="60" w:after="60" w:line="276" w:lineRule="auto"/>
              <w:jc w:val="center"/>
              <w:rPr>
                <w:rFonts w:asciiTheme="minorHAnsi" w:hAnsiTheme="minorHAnsi" w:cstheme="minorHAnsi"/>
                <w:b/>
                <w:bCs/>
                <w:color w:val="FFFFFF" w:themeColor="background1"/>
                <w:sz w:val="18"/>
                <w:szCs w:val="18"/>
                <w:highlight w:val="yellow"/>
              </w:rPr>
            </w:pPr>
            <w:r w:rsidRPr="0090343C">
              <w:rPr>
                <w:rFonts w:asciiTheme="minorHAnsi" w:hAnsiTheme="minorHAnsi"/>
                <w:b/>
                <w:bCs/>
                <w:color w:val="FFFFFF" w:themeColor="background1"/>
                <w:sz w:val="18"/>
                <w:szCs w:val="18"/>
              </w:rPr>
              <w:t>Recensement de 2016</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33D1EB52"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Quotas cibles - </w:t>
            </w:r>
          </w:p>
          <w:p w14:paraId="06F2E61B" w14:textId="2229ACAB"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(n =)</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2DC08C8D"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Quotas cibles - Sondages </w:t>
            </w:r>
          </w:p>
          <w:p w14:paraId="4E7921C9" w14:textId="173D8268"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053CA024"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non pondérées)</w:t>
            </w:r>
          </w:p>
          <w:p w14:paraId="06C0CBB0" w14:textId="4EDCBC9D"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5E775756"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non pondérées)</w:t>
            </w:r>
          </w:p>
          <w:p w14:paraId="5F2DC95B" w14:textId="01D83509"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759CA3D8"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pondérées)</w:t>
            </w:r>
          </w:p>
          <w:p w14:paraId="658A9850" w14:textId="235E5982"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4E3F4C5F"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pondérées)</w:t>
            </w:r>
          </w:p>
          <w:p w14:paraId="1BED8CF3" w14:textId="15468A96"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r>
      <w:tr w:rsidR="0096505A" w:rsidRPr="009977FC" w14:paraId="29CBC60A"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7D236ED" w14:textId="4101BE1D" w:rsidR="0096505A" w:rsidRPr="0090343C" w:rsidRDefault="00311FA6" w:rsidP="00311FA6">
            <w:pPr>
              <w:spacing w:before="60" w:after="60" w:line="276" w:lineRule="auto"/>
              <w:rPr>
                <w:rFonts w:asciiTheme="minorHAnsi" w:hAnsiTheme="minorHAnsi" w:cstheme="minorHAnsi"/>
                <w:vanish/>
                <w:szCs w:val="22"/>
              </w:rPr>
            </w:pPr>
            <w:r w:rsidRPr="0090343C">
              <w:rPr>
                <w:rFonts w:asciiTheme="minorHAnsi" w:hAnsiTheme="minorHAnsi"/>
                <w:szCs w:val="22"/>
              </w:rPr>
              <w:t>Atlantique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91E5E9" w14:textId="7E1F33A0"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6,8 %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2DF4E0"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198</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C180CC7" w14:textId="1D8B2603"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9,9 %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1AF16E4"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200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50E188B" w14:textId="59F17D25"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10,0 %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8D0861A"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137</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2B58C15" w14:textId="3690CF1D"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6,8 %</w:t>
            </w:r>
          </w:p>
        </w:tc>
      </w:tr>
      <w:tr w:rsidR="0096505A" w:rsidRPr="009977FC" w14:paraId="51914E4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9794142" w14:textId="2F592583" w:rsidR="0096505A" w:rsidRPr="0090343C" w:rsidRDefault="007A559C" w:rsidP="00311FA6">
            <w:pPr>
              <w:spacing w:before="60" w:after="60" w:line="276" w:lineRule="auto"/>
              <w:rPr>
                <w:rFonts w:asciiTheme="minorHAnsi" w:hAnsiTheme="minorHAnsi" w:cstheme="minorHAnsi"/>
                <w:vanish/>
                <w:szCs w:val="22"/>
              </w:rPr>
            </w:pPr>
            <w:r w:rsidRPr="0090343C">
              <w:rPr>
                <w:rFonts w:asciiTheme="minorHAnsi" w:hAnsiTheme="minorHAnsi"/>
                <w:szCs w:val="22"/>
              </w:rPr>
              <w:t>Québec</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C9295E" w14:textId="0E0C7DCF"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23,4 %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F44AAF4"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482</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5F2822" w14:textId="7E3DF709"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24,1 %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59383DC"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501</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7364ACB" w14:textId="205ACB5D"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25,0 %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E0063E"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463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55C50B7" w14:textId="6C6653C3"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23,1 %</w:t>
            </w:r>
          </w:p>
        </w:tc>
      </w:tr>
      <w:tr w:rsidR="0096505A" w:rsidRPr="009977FC" w14:paraId="058093B8"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75C74C" w14:textId="5E2244A9" w:rsidR="0096505A" w:rsidRPr="0090343C" w:rsidRDefault="007A559C" w:rsidP="00311FA6">
            <w:pPr>
              <w:spacing w:before="60" w:after="60" w:line="276" w:lineRule="auto"/>
              <w:rPr>
                <w:rFonts w:asciiTheme="minorHAnsi" w:hAnsiTheme="minorHAnsi" w:cstheme="minorHAnsi"/>
                <w:vanish/>
                <w:szCs w:val="22"/>
              </w:rPr>
            </w:pPr>
            <w:r w:rsidRPr="0090343C">
              <w:rPr>
                <w:rFonts w:asciiTheme="minorHAnsi" w:hAnsiTheme="minorHAnsi"/>
                <w:szCs w:val="22"/>
              </w:rPr>
              <w:t>Ontario</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6B9AF5" w14:textId="10432B45"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38,3 %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6247582"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661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FBCC12A" w14:textId="2A3B0C15"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33,1 %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74B1FEE"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701</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814C5B9" w14:textId="56386256"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35,0 %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F2495C"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767</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F531B4" w14:textId="2CA863F1"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38,3 %</w:t>
            </w:r>
          </w:p>
        </w:tc>
      </w:tr>
      <w:tr w:rsidR="0096505A" w:rsidRPr="00863EDF" w14:paraId="0A763618"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0AFBEB4" w14:textId="59FAA971" w:rsidR="0096505A" w:rsidRPr="0090343C" w:rsidRDefault="00311FA6" w:rsidP="00311FA6">
            <w:pPr>
              <w:spacing w:before="60" w:after="60" w:line="276" w:lineRule="auto"/>
              <w:rPr>
                <w:rFonts w:asciiTheme="minorHAnsi" w:hAnsiTheme="minorHAnsi" w:cstheme="minorHAnsi"/>
                <w:vanish/>
                <w:szCs w:val="22"/>
              </w:rPr>
            </w:pPr>
            <w:r w:rsidRPr="0090343C">
              <w:rPr>
                <w:rFonts w:asciiTheme="minorHAnsi" w:hAnsiTheme="minorHAnsi"/>
                <w:szCs w:val="22"/>
              </w:rPr>
              <w:t>Prairies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133D675" w14:textId="7BDFAAF6"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17,7 %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B722E5"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324</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8C25D3F" w14:textId="364B4630"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16,2 %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37FFA41"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350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FB04437" w14:textId="4C2155E2"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17,5 %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835B917"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352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00A694A" w14:textId="530ED104"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17,6 %</w:t>
            </w:r>
          </w:p>
        </w:tc>
      </w:tr>
      <w:tr w:rsidR="0096505A" w:rsidRPr="00863EDF" w14:paraId="543EAE5E"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7F73A3AA" w14:textId="77777777" w:rsidR="007A559C" w:rsidRPr="0090343C" w:rsidRDefault="007A559C" w:rsidP="007A559C">
            <w:pPr>
              <w:spacing w:before="60" w:after="60" w:line="276" w:lineRule="auto"/>
              <w:rPr>
                <w:rFonts w:asciiTheme="minorHAnsi" w:hAnsiTheme="minorHAnsi" w:cstheme="minorHAnsi"/>
                <w:szCs w:val="22"/>
              </w:rPr>
            </w:pPr>
            <w:r w:rsidRPr="0090343C">
              <w:rPr>
                <w:rFonts w:asciiTheme="minorHAnsi" w:hAnsiTheme="minorHAnsi"/>
                <w:szCs w:val="22"/>
              </w:rPr>
              <w:t>Colombie-Britannique/</w:t>
            </w:r>
          </w:p>
          <w:p w14:paraId="236EE0E5" w14:textId="125AA520" w:rsidR="0096505A" w:rsidRPr="0090343C" w:rsidRDefault="007A559C" w:rsidP="007A559C">
            <w:pPr>
              <w:spacing w:before="60" w:after="60" w:line="276" w:lineRule="auto"/>
              <w:rPr>
                <w:rFonts w:asciiTheme="minorHAnsi" w:hAnsiTheme="minorHAnsi" w:cstheme="minorHAnsi"/>
                <w:szCs w:val="22"/>
                <w:highlight w:val="yellow"/>
              </w:rPr>
            </w:pPr>
            <w:r w:rsidRPr="0090343C">
              <w:rPr>
                <w:rFonts w:asciiTheme="minorHAnsi" w:hAnsiTheme="minorHAnsi"/>
                <w:szCs w:val="22"/>
              </w:rPr>
              <w:t>Nord</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FB687E1" w14:textId="4EAEA8B6"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13,8 %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87C902"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235</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373EC0" w14:textId="00D08100"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11,8 %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6F0A3E"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250</w:t>
            </w:r>
          </w:p>
        </w:tc>
        <w:tc>
          <w:tcPr>
            <w:tcW w:w="127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4E8B2BB" w14:textId="35E8945F"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12,5 %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E1D9156"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283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5D958A" w14:textId="7A7576B1"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14,1 %</w:t>
            </w:r>
          </w:p>
        </w:tc>
      </w:tr>
      <w:tr w:rsidR="0096505A" w:rsidRPr="009977FC" w14:paraId="29D07CB0"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tcPr>
          <w:p w14:paraId="3EFC81C9" w14:textId="77777777" w:rsidR="00311FA6" w:rsidRPr="009977FC" w:rsidRDefault="00311FA6" w:rsidP="00A0688F">
            <w:pPr>
              <w:spacing w:before="60" w:after="60" w:line="276" w:lineRule="auto"/>
              <w:rPr>
                <w:rFonts w:asciiTheme="minorHAnsi" w:hAnsiTheme="minorHAnsi" w:cstheme="minorHAnsi"/>
                <w:b/>
                <w:bCs/>
                <w:color w:val="FFFFFF" w:themeColor="background1"/>
                <w:szCs w:val="22"/>
                <w:highlight w:val="yellow"/>
              </w:rPr>
            </w:pPr>
          </w:p>
          <w:p w14:paraId="780BDE53" w14:textId="77777777" w:rsidR="00311FA6" w:rsidRPr="009977FC" w:rsidRDefault="00311FA6" w:rsidP="00A0688F">
            <w:pPr>
              <w:spacing w:before="60" w:after="60" w:line="276" w:lineRule="auto"/>
              <w:rPr>
                <w:rFonts w:asciiTheme="minorHAnsi" w:hAnsiTheme="minorHAnsi" w:cstheme="minorHAnsi"/>
                <w:b/>
                <w:bCs/>
                <w:color w:val="FFFFFF" w:themeColor="background1"/>
                <w:szCs w:val="22"/>
                <w:highlight w:val="yellow"/>
              </w:rPr>
            </w:pPr>
          </w:p>
          <w:p w14:paraId="4E1A9F10" w14:textId="77777777" w:rsidR="0096505A" w:rsidRPr="009977FC" w:rsidRDefault="0096505A" w:rsidP="00A0688F">
            <w:pPr>
              <w:spacing w:before="60" w:after="60" w:line="276" w:lineRule="auto"/>
              <w:rPr>
                <w:rFonts w:asciiTheme="minorHAnsi" w:hAnsiTheme="minorHAnsi" w:cstheme="minorHAnsi"/>
                <w:b/>
                <w:bCs/>
                <w:szCs w:val="22"/>
                <w:highlight w:val="yellow"/>
              </w:rPr>
            </w:pPr>
            <w:r>
              <w:rPr>
                <w:rFonts w:asciiTheme="minorHAnsi" w:hAnsiTheme="minorHAnsi"/>
                <w:b/>
                <w:bCs/>
                <w:color w:val="FFFFFF" w:themeColor="background1"/>
                <w:szCs w:val="22"/>
              </w:rPr>
              <w:t>Sexe</w:t>
            </w:r>
            <w:r>
              <w:rPr>
                <w:rFonts w:asciiTheme="minorHAnsi" w:hAnsiTheme="minorHAnsi"/>
                <w:b/>
                <w:bCs/>
                <w:color w:val="FFFFFF" w:themeColor="background1"/>
                <w:szCs w:val="22"/>
                <w:vertAlign w:val="superscript"/>
              </w:rPr>
              <w:t>1</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7A5CFBFA" w14:textId="77777777" w:rsidR="00311FA6" w:rsidRPr="00863EDF" w:rsidRDefault="00311FA6" w:rsidP="00A0688F">
            <w:pPr>
              <w:spacing w:before="60" w:after="60" w:line="276" w:lineRule="auto"/>
              <w:jc w:val="center"/>
              <w:rPr>
                <w:rFonts w:asciiTheme="minorHAnsi" w:hAnsiTheme="minorHAnsi" w:cstheme="minorHAnsi"/>
                <w:b/>
                <w:bCs/>
                <w:color w:val="FFFFFF"/>
                <w:sz w:val="18"/>
                <w:szCs w:val="18"/>
              </w:rPr>
            </w:pPr>
          </w:p>
          <w:p w14:paraId="5C3BA054" w14:textId="77777777" w:rsidR="00311FA6" w:rsidRPr="00863EDF" w:rsidRDefault="00311FA6" w:rsidP="00A0688F">
            <w:pPr>
              <w:spacing w:before="60" w:after="60" w:line="276" w:lineRule="auto"/>
              <w:jc w:val="center"/>
              <w:rPr>
                <w:rFonts w:asciiTheme="minorHAnsi" w:hAnsiTheme="minorHAnsi" w:cstheme="minorHAnsi"/>
                <w:b/>
                <w:bCs/>
                <w:color w:val="FFFFFF"/>
                <w:sz w:val="18"/>
                <w:szCs w:val="18"/>
              </w:rPr>
            </w:pPr>
          </w:p>
          <w:p w14:paraId="226EE3D6" w14:textId="6AC85CAE" w:rsidR="0096505A" w:rsidRPr="00863EDF" w:rsidRDefault="007A559C" w:rsidP="00311FA6">
            <w:pPr>
              <w:spacing w:before="60" w:after="60" w:line="276" w:lineRule="auto"/>
              <w:jc w:val="center"/>
              <w:rPr>
                <w:rFonts w:asciiTheme="minorHAnsi" w:hAnsiTheme="minorHAnsi" w:cstheme="minorHAnsi"/>
                <w:b/>
                <w:bCs/>
                <w:color w:val="FFFFFF"/>
                <w:sz w:val="18"/>
                <w:szCs w:val="18"/>
              </w:rPr>
            </w:pPr>
            <w:r w:rsidRPr="0090343C">
              <w:rPr>
                <w:rFonts w:asciiTheme="minorHAnsi" w:hAnsiTheme="minorHAnsi"/>
                <w:b/>
                <w:bCs/>
                <w:color w:val="FFFFFF" w:themeColor="background1"/>
                <w:sz w:val="18"/>
                <w:szCs w:val="18"/>
              </w:rPr>
              <w:t>Recensement de 2016</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09D1C5C5"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Quotas cibles - </w:t>
            </w:r>
          </w:p>
          <w:p w14:paraId="6443963F" w14:textId="76828FC1"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(n =)</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tcPr>
          <w:p w14:paraId="4C25637F"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Quotas cibles - Sondages </w:t>
            </w:r>
          </w:p>
          <w:p w14:paraId="4B45AB25" w14:textId="4F9CC459"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727EF667"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non pondérées)</w:t>
            </w:r>
          </w:p>
          <w:p w14:paraId="4B519D56" w14:textId="5166DED2"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5601385F"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non pondérées)</w:t>
            </w:r>
          </w:p>
          <w:p w14:paraId="4A4FDE00" w14:textId="0BBFBEA3"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3245390B"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pondérées)</w:t>
            </w:r>
          </w:p>
          <w:p w14:paraId="4B91AB48" w14:textId="07DC8775"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bottom"/>
          </w:tcPr>
          <w:p w14:paraId="30BCA749"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pondérées)</w:t>
            </w:r>
          </w:p>
          <w:p w14:paraId="6B90B72F" w14:textId="24AA34E9"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r>
      <w:tr w:rsidR="0096505A" w:rsidRPr="009977FC" w14:paraId="5FBA067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E4C3418" w14:textId="71745A1A" w:rsidR="0096505A" w:rsidRPr="0090343C" w:rsidRDefault="00311FA6" w:rsidP="00311FA6">
            <w:pPr>
              <w:spacing w:before="60" w:after="60" w:line="276" w:lineRule="auto"/>
              <w:ind w:right="-108"/>
              <w:rPr>
                <w:rFonts w:asciiTheme="minorHAnsi" w:hAnsiTheme="minorHAnsi" w:cstheme="minorHAnsi"/>
                <w:vanish/>
                <w:szCs w:val="22"/>
              </w:rPr>
            </w:pPr>
            <w:r w:rsidRPr="0090343C">
              <w:rPr>
                <w:rFonts w:asciiTheme="minorHAnsi" w:hAnsiTheme="minorHAnsi"/>
                <w:szCs w:val="22"/>
              </w:rPr>
              <w:t>Homme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77537D" w14:textId="44856D21"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48,6 %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8CAA2EC"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921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D920A2" w14:textId="37655AA7"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46,1 %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4C5CC14"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951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3330464" w14:textId="0D3FACE3"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47,5 %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73C441A"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970</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E0D4FC4" w14:textId="28BD65AC"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48,5 %</w:t>
            </w:r>
          </w:p>
        </w:tc>
      </w:tr>
      <w:tr w:rsidR="0096505A" w:rsidRPr="00863EDF" w14:paraId="5804922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E97E603" w14:textId="7C0EE780" w:rsidR="0096505A" w:rsidRPr="0090343C" w:rsidRDefault="00311FA6" w:rsidP="00311FA6">
            <w:pPr>
              <w:spacing w:before="60" w:after="60" w:line="276" w:lineRule="auto"/>
              <w:rPr>
                <w:rFonts w:asciiTheme="minorHAnsi" w:hAnsiTheme="minorHAnsi" w:cstheme="minorHAnsi"/>
                <w:vanish/>
                <w:szCs w:val="22"/>
              </w:rPr>
            </w:pPr>
            <w:r w:rsidRPr="0090343C">
              <w:rPr>
                <w:rFonts w:asciiTheme="minorHAnsi" w:hAnsiTheme="minorHAnsi"/>
                <w:szCs w:val="22"/>
              </w:rPr>
              <w:t>Femme</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6003EB" w14:textId="4DB86E1E"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51,4 %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283078B"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979</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7C529AD" w14:textId="465385C5"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49,0 %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1DCA4F1"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1040</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8B09C40" w14:textId="5ED83D88"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51,9 %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A670FE6"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1022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D9E3CB" w14:textId="04F2341B"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51,0 %</w:t>
            </w:r>
          </w:p>
        </w:tc>
      </w:tr>
      <w:tr w:rsidR="0096505A" w:rsidRPr="00863EDF" w14:paraId="025ABF5B"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hideMark/>
          </w:tcPr>
          <w:p w14:paraId="506A70CA" w14:textId="77777777" w:rsidR="00311FA6" w:rsidRPr="009977FC" w:rsidRDefault="00311FA6" w:rsidP="00A0688F">
            <w:pPr>
              <w:spacing w:before="60" w:after="60" w:line="276" w:lineRule="auto"/>
              <w:rPr>
                <w:rFonts w:asciiTheme="minorHAnsi" w:hAnsiTheme="minorHAnsi" w:cstheme="minorHAnsi"/>
                <w:color w:val="FFFFFF" w:themeColor="background1"/>
                <w:szCs w:val="22"/>
              </w:rPr>
            </w:pPr>
          </w:p>
          <w:p w14:paraId="43033E88" w14:textId="105548E1" w:rsidR="0096505A" w:rsidRPr="009977FC" w:rsidRDefault="0096505A" w:rsidP="00A0688F">
            <w:pPr>
              <w:spacing w:before="60" w:after="60" w:line="276" w:lineRule="auto"/>
              <w:rPr>
                <w:rFonts w:asciiTheme="minorHAnsi" w:hAnsiTheme="minorHAnsi" w:cstheme="minorHAnsi"/>
                <w:b/>
                <w:bCs/>
                <w:color w:val="FFFFFF" w:themeColor="background1"/>
                <w:szCs w:val="22"/>
              </w:rPr>
            </w:pPr>
            <w:r>
              <w:rPr>
                <w:rFonts w:asciiTheme="minorHAnsi" w:hAnsiTheme="minorHAnsi"/>
                <w:b/>
                <w:bCs/>
                <w:color w:val="FFFFFF" w:themeColor="background1"/>
              </w:rPr>
              <w:t>Statut d</w:t>
            </w:r>
            <w:r w:rsidR="00863EDF">
              <w:rPr>
                <w:rFonts w:asciiTheme="minorHAnsi" w:hAnsiTheme="minorHAnsi"/>
                <w:b/>
                <w:bCs/>
                <w:color w:val="FFFFFF" w:themeColor="background1"/>
              </w:rPr>
              <w:t>’</w:t>
            </w:r>
            <w:r>
              <w:rPr>
                <w:rFonts w:asciiTheme="minorHAnsi" w:hAnsiTheme="minorHAnsi"/>
                <w:b/>
                <w:bCs/>
                <w:color w:val="FFFFFF" w:themeColor="background1"/>
              </w:rPr>
              <w:t>immigrant</w:t>
            </w:r>
            <w:r>
              <w:rPr>
                <w:rFonts w:asciiTheme="minorHAnsi" w:hAnsiTheme="minorHAnsi"/>
                <w:b/>
                <w:bCs/>
                <w:color w:val="FFFFFF" w:themeColor="background1"/>
                <w:sz w:val="16"/>
                <w:szCs w:val="16"/>
                <w:vertAlign w:val="superscript"/>
              </w:rPr>
              <w:t>2</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E82C7C3" w14:textId="5AB7782B" w:rsidR="0096505A" w:rsidRPr="00863EDF" w:rsidRDefault="00311FA6" w:rsidP="00982BB8">
            <w:pPr>
              <w:spacing w:before="60" w:after="60" w:line="276" w:lineRule="auto"/>
              <w:jc w:val="center"/>
              <w:rPr>
                <w:rFonts w:asciiTheme="minorHAnsi" w:hAnsiTheme="minorHAnsi" w:cstheme="minorHAnsi"/>
                <w:b/>
                <w:bCs/>
                <w:color w:val="FFFFFF"/>
                <w:sz w:val="18"/>
                <w:szCs w:val="18"/>
              </w:rPr>
            </w:pPr>
            <w:r w:rsidRPr="0090343C">
              <w:rPr>
                <w:rFonts w:asciiTheme="minorHAnsi" w:hAnsiTheme="minorHAnsi"/>
                <w:b/>
                <w:bCs/>
                <w:color w:val="FFFFFF" w:themeColor="background1"/>
                <w:sz w:val="18"/>
                <w:szCs w:val="18"/>
              </w:rPr>
              <w:t>Recensement de 2016</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26EC62C8"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Quotas cibles - </w:t>
            </w:r>
          </w:p>
          <w:p w14:paraId="0618C6E8" w14:textId="1E75C3FC"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(n =)</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01A2D14D"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Quotas cibles - Sondages </w:t>
            </w:r>
          </w:p>
          <w:p w14:paraId="53240720" w14:textId="55964A07"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7A6D74CE"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non pondérées)</w:t>
            </w:r>
          </w:p>
          <w:p w14:paraId="28071C14" w14:textId="5E4439E2"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78953DD3"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non pondérées)</w:t>
            </w:r>
          </w:p>
          <w:p w14:paraId="572D9DD0" w14:textId="5427091B"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79B37B5E"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pondérées)</w:t>
            </w:r>
          </w:p>
          <w:p w14:paraId="4751C2EA" w14:textId="1071D2DF"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4B691C9D"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pondérées)</w:t>
            </w:r>
          </w:p>
          <w:p w14:paraId="330FDB3F" w14:textId="7590B47D"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r>
      <w:tr w:rsidR="00982BB8" w:rsidRPr="00863EDF" w14:paraId="2F2A0B4F"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E6BB3C3" w14:textId="77777777" w:rsidR="00982BB8" w:rsidRPr="0090343C" w:rsidRDefault="00982BB8" w:rsidP="00982BB8">
            <w:pPr>
              <w:spacing w:before="60" w:after="60" w:line="276" w:lineRule="auto"/>
              <w:rPr>
                <w:rFonts w:asciiTheme="minorHAnsi" w:hAnsiTheme="minorHAnsi" w:cstheme="minorHAnsi"/>
                <w:szCs w:val="22"/>
              </w:rPr>
            </w:pPr>
            <w:r w:rsidRPr="0090343C">
              <w:rPr>
                <w:rFonts w:asciiTheme="minorHAnsi" w:hAnsiTheme="minorHAnsi"/>
                <w:szCs w:val="22"/>
              </w:rPr>
              <w:t>Pas un immigrant</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DC3867" w14:textId="4B89EFD3" w:rsidR="00982BB8" w:rsidRPr="0090343C" w:rsidRDefault="00982BB8" w:rsidP="00982BB8">
            <w:pPr>
              <w:spacing w:before="60" w:after="60" w:line="276" w:lineRule="auto"/>
              <w:jc w:val="center"/>
              <w:rPr>
                <w:rFonts w:asciiTheme="minorHAnsi" w:hAnsiTheme="minorHAnsi" w:cstheme="minorHAnsi"/>
                <w:szCs w:val="22"/>
              </w:rPr>
            </w:pPr>
            <w:r w:rsidRPr="0090343C">
              <w:rPr>
                <w:rFonts w:asciiTheme="minorHAnsi" w:hAnsiTheme="minorHAnsi"/>
                <w:szCs w:val="22"/>
              </w:rPr>
              <w:t>76,6 %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6C9BDC" w14:textId="374AA045" w:rsidR="00982BB8" w:rsidRPr="0090343C" w:rsidRDefault="00982BB8" w:rsidP="00982BB8">
            <w:pPr>
              <w:spacing w:before="60" w:after="60" w:line="276" w:lineRule="auto"/>
              <w:jc w:val="center"/>
              <w:rPr>
                <w:rFonts w:asciiTheme="minorHAnsi" w:hAnsiTheme="minorHAnsi" w:cstheme="minorHAnsi"/>
                <w:szCs w:val="22"/>
                <w:highlight w:val="yellow"/>
              </w:rPr>
            </w:pPr>
            <w:r w:rsidRPr="0090343C">
              <w:rPr>
                <w:rFonts w:asciiTheme="minorHAnsi" w:hAnsiTheme="minorHAnsi"/>
                <w:szCs w:val="22"/>
              </w:rPr>
              <w:t>Sans objet</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A43BF7" w14:textId="46201E32" w:rsidR="00982BB8" w:rsidRPr="0090343C" w:rsidRDefault="00982BB8" w:rsidP="00982BB8">
            <w:pPr>
              <w:spacing w:before="60" w:after="60" w:line="276" w:lineRule="auto"/>
              <w:jc w:val="center"/>
              <w:rPr>
                <w:rFonts w:asciiTheme="minorHAnsi" w:hAnsiTheme="minorHAnsi" w:cstheme="minorHAnsi"/>
                <w:szCs w:val="22"/>
                <w:highlight w:val="yellow"/>
              </w:rPr>
            </w:pPr>
            <w:r w:rsidRPr="0090343C">
              <w:rPr>
                <w:rFonts w:asciiTheme="minorHAnsi" w:hAnsiTheme="minorHAnsi"/>
                <w:szCs w:val="22"/>
              </w:rPr>
              <w:t>Sans objet</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B9D1BB8" w14:textId="77777777" w:rsidR="00982BB8" w:rsidRPr="0090343C" w:rsidRDefault="00982BB8" w:rsidP="00982BB8">
            <w:pPr>
              <w:spacing w:before="60" w:after="60" w:line="276" w:lineRule="auto"/>
              <w:jc w:val="center"/>
              <w:rPr>
                <w:rFonts w:asciiTheme="minorHAnsi" w:hAnsiTheme="minorHAnsi" w:cstheme="minorHAnsi"/>
                <w:vanish/>
                <w:szCs w:val="22"/>
              </w:rPr>
            </w:pPr>
            <w:r w:rsidRPr="0090343C">
              <w:rPr>
                <w:rFonts w:asciiTheme="minorHAnsi" w:hAnsiTheme="minorHAnsi"/>
                <w:szCs w:val="22"/>
              </w:rPr>
              <w:t>1564</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53D2308" w14:textId="1DC7F842" w:rsidR="00982BB8" w:rsidRPr="0090343C" w:rsidRDefault="00982BB8" w:rsidP="00982BB8">
            <w:pPr>
              <w:spacing w:before="60" w:after="60" w:line="276" w:lineRule="auto"/>
              <w:jc w:val="center"/>
              <w:rPr>
                <w:rFonts w:asciiTheme="minorHAnsi" w:hAnsiTheme="minorHAnsi" w:cstheme="minorHAnsi"/>
                <w:vanish/>
                <w:szCs w:val="22"/>
              </w:rPr>
            </w:pPr>
            <w:r w:rsidRPr="0090343C">
              <w:rPr>
                <w:rFonts w:asciiTheme="minorHAnsi" w:hAnsiTheme="minorHAnsi"/>
                <w:szCs w:val="22"/>
              </w:rPr>
              <w:t>78,1 %</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575C4CB" w14:textId="77777777" w:rsidR="00982BB8" w:rsidRPr="0090343C" w:rsidRDefault="00982BB8" w:rsidP="00982BB8">
            <w:pPr>
              <w:spacing w:before="60" w:after="60" w:line="276" w:lineRule="auto"/>
              <w:jc w:val="center"/>
              <w:rPr>
                <w:rFonts w:asciiTheme="minorHAnsi" w:hAnsiTheme="minorHAnsi" w:cstheme="minorHAnsi"/>
                <w:vanish/>
                <w:szCs w:val="22"/>
              </w:rPr>
            </w:pPr>
            <w:r w:rsidRPr="0090343C">
              <w:rPr>
                <w:rFonts w:asciiTheme="minorHAnsi" w:hAnsiTheme="minorHAnsi"/>
                <w:szCs w:val="22"/>
              </w:rPr>
              <w:t>1534</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20B8640" w14:textId="59947E47" w:rsidR="00982BB8" w:rsidRPr="0090343C" w:rsidRDefault="00982BB8" w:rsidP="00982BB8">
            <w:pPr>
              <w:spacing w:before="60" w:after="60" w:line="276" w:lineRule="auto"/>
              <w:jc w:val="center"/>
              <w:rPr>
                <w:rFonts w:asciiTheme="minorHAnsi" w:hAnsiTheme="minorHAnsi" w:cstheme="minorHAnsi"/>
                <w:vanish/>
                <w:szCs w:val="22"/>
              </w:rPr>
            </w:pPr>
            <w:r w:rsidRPr="0090343C">
              <w:rPr>
                <w:rFonts w:asciiTheme="minorHAnsi" w:hAnsiTheme="minorHAnsi"/>
                <w:szCs w:val="22"/>
              </w:rPr>
              <w:t>76,6 %</w:t>
            </w:r>
          </w:p>
        </w:tc>
      </w:tr>
      <w:tr w:rsidR="00982BB8" w:rsidRPr="00863EDF" w14:paraId="7ECC0D8D"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B00A92B" w14:textId="77777777" w:rsidR="00982BB8" w:rsidRPr="0090343C" w:rsidRDefault="00982BB8" w:rsidP="00982BB8">
            <w:pPr>
              <w:spacing w:before="60" w:after="60" w:line="276" w:lineRule="auto"/>
              <w:rPr>
                <w:rFonts w:asciiTheme="minorHAnsi" w:hAnsiTheme="minorHAnsi" w:cstheme="minorHAnsi"/>
                <w:szCs w:val="22"/>
              </w:rPr>
            </w:pPr>
            <w:r w:rsidRPr="0090343C">
              <w:rPr>
                <w:rFonts w:asciiTheme="minorHAnsi" w:hAnsiTheme="minorHAnsi"/>
                <w:szCs w:val="22"/>
              </w:rPr>
              <w:t>Immigrant, 5 ans ou plus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66BDCC" w14:textId="05C24234" w:rsidR="00982BB8" w:rsidRPr="0090343C" w:rsidRDefault="00982BB8" w:rsidP="00982BB8">
            <w:pPr>
              <w:spacing w:before="60" w:after="60" w:line="276" w:lineRule="auto"/>
              <w:jc w:val="center"/>
              <w:rPr>
                <w:rFonts w:asciiTheme="minorHAnsi" w:hAnsiTheme="minorHAnsi" w:cstheme="minorHAnsi"/>
                <w:szCs w:val="22"/>
              </w:rPr>
            </w:pPr>
            <w:r w:rsidRPr="0090343C">
              <w:rPr>
                <w:rFonts w:asciiTheme="minorHAnsi" w:hAnsiTheme="minorHAnsi"/>
                <w:szCs w:val="22"/>
              </w:rPr>
              <w:t>19,8 %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8C1997" w14:textId="1B3DDC4D" w:rsidR="00982BB8" w:rsidRPr="0090343C" w:rsidRDefault="00982BB8" w:rsidP="00982BB8">
            <w:pPr>
              <w:spacing w:before="60" w:after="60" w:line="276" w:lineRule="auto"/>
              <w:jc w:val="center"/>
              <w:rPr>
                <w:rFonts w:asciiTheme="minorHAnsi" w:hAnsiTheme="minorHAnsi" w:cstheme="minorHAnsi"/>
                <w:szCs w:val="22"/>
                <w:highlight w:val="yellow"/>
              </w:rPr>
            </w:pPr>
            <w:r w:rsidRPr="0090343C">
              <w:rPr>
                <w:rFonts w:asciiTheme="minorHAnsi" w:hAnsiTheme="minorHAnsi"/>
                <w:szCs w:val="22"/>
              </w:rPr>
              <w:t>Sans objet</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BEB7EE" w14:textId="3FAFEA2C" w:rsidR="00982BB8" w:rsidRPr="0090343C" w:rsidRDefault="00982BB8" w:rsidP="00982BB8">
            <w:pPr>
              <w:spacing w:before="60" w:after="60" w:line="276" w:lineRule="auto"/>
              <w:jc w:val="center"/>
              <w:rPr>
                <w:rFonts w:asciiTheme="minorHAnsi" w:hAnsiTheme="minorHAnsi" w:cstheme="minorHAnsi"/>
                <w:szCs w:val="22"/>
                <w:highlight w:val="yellow"/>
              </w:rPr>
            </w:pPr>
            <w:r w:rsidRPr="0090343C">
              <w:rPr>
                <w:rFonts w:asciiTheme="minorHAnsi" w:hAnsiTheme="minorHAnsi"/>
                <w:szCs w:val="22"/>
              </w:rPr>
              <w:t>Sans objet</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3A30BE4" w14:textId="77777777" w:rsidR="00982BB8" w:rsidRPr="0090343C" w:rsidRDefault="00982BB8" w:rsidP="00982BB8">
            <w:pPr>
              <w:spacing w:before="60" w:after="60" w:line="276" w:lineRule="auto"/>
              <w:jc w:val="center"/>
              <w:rPr>
                <w:rFonts w:asciiTheme="minorHAnsi" w:hAnsiTheme="minorHAnsi" w:cstheme="minorHAnsi"/>
                <w:vanish/>
                <w:szCs w:val="22"/>
              </w:rPr>
            </w:pPr>
            <w:r w:rsidRPr="0090343C">
              <w:rPr>
                <w:rFonts w:asciiTheme="minorHAnsi" w:hAnsiTheme="minorHAnsi"/>
                <w:szCs w:val="22"/>
              </w:rPr>
              <w:t>321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10BE8EC" w14:textId="1B8BB466" w:rsidR="00982BB8" w:rsidRPr="0090343C" w:rsidRDefault="00982BB8" w:rsidP="00982BB8">
            <w:pPr>
              <w:spacing w:before="60" w:after="60" w:line="276" w:lineRule="auto"/>
              <w:jc w:val="center"/>
              <w:rPr>
                <w:rFonts w:asciiTheme="minorHAnsi" w:hAnsiTheme="minorHAnsi" w:cstheme="minorHAnsi"/>
                <w:vanish/>
                <w:szCs w:val="22"/>
              </w:rPr>
            </w:pPr>
            <w:r w:rsidRPr="0090343C">
              <w:rPr>
                <w:rFonts w:asciiTheme="minorHAnsi" w:hAnsiTheme="minorHAnsi"/>
                <w:szCs w:val="22"/>
              </w:rPr>
              <w:t>16,0 %</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F356F7" w14:textId="77777777" w:rsidR="00982BB8" w:rsidRPr="0090343C" w:rsidRDefault="00982BB8" w:rsidP="00982BB8">
            <w:pPr>
              <w:spacing w:before="60" w:after="60" w:line="276" w:lineRule="auto"/>
              <w:jc w:val="center"/>
              <w:rPr>
                <w:rFonts w:asciiTheme="minorHAnsi" w:hAnsiTheme="minorHAnsi" w:cstheme="minorHAnsi"/>
                <w:vanish/>
                <w:szCs w:val="22"/>
              </w:rPr>
            </w:pPr>
            <w:r w:rsidRPr="0090343C">
              <w:rPr>
                <w:rFonts w:asciiTheme="minorHAnsi" w:hAnsiTheme="minorHAnsi"/>
                <w:szCs w:val="22"/>
              </w:rPr>
              <w:t>396</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25C022B" w14:textId="30BD3FBD" w:rsidR="00982BB8" w:rsidRPr="0090343C" w:rsidRDefault="00982BB8" w:rsidP="00982BB8">
            <w:pPr>
              <w:spacing w:before="60" w:after="60" w:line="276" w:lineRule="auto"/>
              <w:jc w:val="center"/>
              <w:rPr>
                <w:rFonts w:asciiTheme="minorHAnsi" w:hAnsiTheme="minorHAnsi" w:cstheme="minorHAnsi"/>
                <w:vanish/>
                <w:szCs w:val="22"/>
              </w:rPr>
            </w:pPr>
            <w:r w:rsidRPr="0090343C">
              <w:rPr>
                <w:rFonts w:asciiTheme="minorHAnsi" w:hAnsiTheme="minorHAnsi"/>
                <w:szCs w:val="22"/>
              </w:rPr>
              <w:t>19,8 %</w:t>
            </w:r>
          </w:p>
        </w:tc>
      </w:tr>
      <w:tr w:rsidR="0096505A" w:rsidRPr="00863EDF" w14:paraId="20184F93"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C3C07F" w14:textId="77777777" w:rsidR="00982BB8" w:rsidRPr="0090343C" w:rsidRDefault="00982BB8" w:rsidP="00982BB8">
            <w:pPr>
              <w:spacing w:before="60" w:after="60" w:line="276" w:lineRule="auto"/>
              <w:rPr>
                <w:rFonts w:asciiTheme="minorHAnsi" w:hAnsiTheme="minorHAnsi" w:cstheme="minorHAnsi"/>
                <w:szCs w:val="22"/>
              </w:rPr>
            </w:pPr>
            <w:r w:rsidRPr="0090343C">
              <w:rPr>
                <w:rFonts w:asciiTheme="minorHAnsi" w:hAnsiTheme="minorHAnsi"/>
                <w:szCs w:val="22"/>
              </w:rPr>
              <w:t xml:space="preserve">Immigrant récent </w:t>
            </w:r>
          </w:p>
          <w:p w14:paraId="6ACBA0DD" w14:textId="46BCA6FF" w:rsidR="0096505A" w:rsidRPr="0090343C" w:rsidRDefault="00982BB8" w:rsidP="00982BB8">
            <w:pPr>
              <w:spacing w:before="60" w:after="60" w:line="276" w:lineRule="auto"/>
              <w:rPr>
                <w:rFonts w:asciiTheme="minorHAnsi" w:hAnsiTheme="minorHAnsi" w:cstheme="minorHAnsi"/>
                <w:szCs w:val="22"/>
                <w:highlight w:val="yellow"/>
              </w:rPr>
            </w:pPr>
            <w:r w:rsidRPr="0090343C">
              <w:rPr>
                <w:rFonts w:asciiTheme="minorHAnsi" w:hAnsiTheme="minorHAnsi"/>
                <w:szCs w:val="22"/>
              </w:rPr>
              <w:t>(depuis moins de 5 ans)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71C9F" w14:textId="0872827C"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3,5 %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41CD9C"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100</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079CF4F" w14:textId="2C048E5D"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5,0 %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12EA49"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117</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CB2AB2B" w14:textId="45D64BEB"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5,8 %</w:t>
            </w:r>
          </w:p>
        </w:tc>
        <w:tc>
          <w:tcPr>
            <w:tcW w:w="113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5D5063"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72</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E1AF8B" w14:textId="492B50CF"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3,6 %</w:t>
            </w:r>
          </w:p>
        </w:tc>
      </w:tr>
      <w:tr w:rsidR="0096505A" w:rsidRPr="00863EDF" w14:paraId="79AA0D62" w14:textId="77777777" w:rsidTr="00A0688F">
        <w:trPr>
          <w:jc w:val="center"/>
        </w:trPr>
        <w:tc>
          <w:tcPr>
            <w:tcW w:w="1691" w:type="dxa"/>
            <w:tcBorders>
              <w:top w:val="nil"/>
              <w:left w:val="single" w:sz="8" w:space="0" w:color="BFBFBF"/>
              <w:bottom w:val="single" w:sz="8" w:space="0" w:color="BFBFBF"/>
              <w:right w:val="single" w:sz="8" w:space="0" w:color="BFBFBF"/>
            </w:tcBorders>
            <w:shd w:val="clear" w:color="auto" w:fill="2FB5BF"/>
            <w:tcMar>
              <w:top w:w="0" w:type="dxa"/>
              <w:left w:w="108" w:type="dxa"/>
              <w:bottom w:w="0" w:type="dxa"/>
              <w:right w:w="108" w:type="dxa"/>
            </w:tcMar>
            <w:hideMark/>
          </w:tcPr>
          <w:p w14:paraId="44AE6372" w14:textId="77777777" w:rsidR="00311FA6" w:rsidRPr="009977FC" w:rsidRDefault="00311FA6" w:rsidP="00A0688F">
            <w:pPr>
              <w:spacing w:before="60" w:after="60" w:line="276" w:lineRule="auto"/>
              <w:rPr>
                <w:rFonts w:asciiTheme="minorHAnsi" w:hAnsiTheme="minorHAnsi" w:cstheme="minorHAnsi"/>
                <w:color w:val="FFFFFF" w:themeColor="background1"/>
                <w:szCs w:val="22"/>
                <w:highlight w:val="yellow"/>
              </w:rPr>
            </w:pPr>
          </w:p>
          <w:p w14:paraId="7129F250" w14:textId="77777777" w:rsidR="00311FA6" w:rsidRPr="009977FC" w:rsidRDefault="00311FA6" w:rsidP="00A0688F">
            <w:pPr>
              <w:spacing w:before="60" w:after="60" w:line="276" w:lineRule="auto"/>
              <w:rPr>
                <w:rFonts w:asciiTheme="minorHAnsi" w:hAnsiTheme="minorHAnsi" w:cstheme="minorHAnsi"/>
                <w:color w:val="FFFFFF" w:themeColor="background1"/>
                <w:szCs w:val="22"/>
                <w:highlight w:val="yellow"/>
              </w:rPr>
            </w:pPr>
          </w:p>
          <w:p w14:paraId="3E3738CE" w14:textId="77777777" w:rsidR="0096505A" w:rsidRPr="009977FC" w:rsidRDefault="0096505A" w:rsidP="00A0688F">
            <w:pPr>
              <w:spacing w:before="60" w:after="60" w:line="276" w:lineRule="auto"/>
              <w:rPr>
                <w:rFonts w:asciiTheme="minorHAnsi" w:hAnsiTheme="minorHAnsi" w:cstheme="minorHAnsi"/>
                <w:b/>
                <w:bCs/>
                <w:color w:val="FFFFFF" w:themeColor="background1"/>
                <w:szCs w:val="22"/>
                <w:highlight w:val="yellow"/>
              </w:rPr>
            </w:pPr>
            <w:r>
              <w:rPr>
                <w:rFonts w:asciiTheme="minorHAnsi" w:hAnsiTheme="minorHAnsi"/>
                <w:b/>
                <w:bCs/>
                <w:color w:val="FFFFFF" w:themeColor="background1"/>
                <w:szCs w:val="22"/>
              </w:rPr>
              <w:t>Âge (quotas)</w:t>
            </w:r>
          </w:p>
        </w:tc>
        <w:tc>
          <w:tcPr>
            <w:tcW w:w="851"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78B1804" w14:textId="0EEDBEC2" w:rsidR="0096505A" w:rsidRPr="00863EDF" w:rsidRDefault="00982BB8" w:rsidP="00311FA6">
            <w:pPr>
              <w:spacing w:before="60" w:after="60" w:line="276" w:lineRule="auto"/>
              <w:jc w:val="center"/>
              <w:rPr>
                <w:rFonts w:asciiTheme="minorHAnsi" w:hAnsiTheme="minorHAnsi" w:cstheme="minorHAnsi"/>
                <w:b/>
                <w:bCs/>
                <w:color w:val="FFFFFF"/>
                <w:sz w:val="18"/>
                <w:szCs w:val="18"/>
              </w:rPr>
            </w:pPr>
            <w:r w:rsidRPr="0090343C">
              <w:rPr>
                <w:rFonts w:asciiTheme="minorHAnsi" w:hAnsiTheme="minorHAnsi"/>
                <w:b/>
                <w:bCs/>
                <w:color w:val="FFFFFF" w:themeColor="background1"/>
                <w:sz w:val="18"/>
                <w:szCs w:val="18"/>
              </w:rPr>
              <w:t>Recensement de 2016</w:t>
            </w:r>
          </w:p>
        </w:tc>
        <w:tc>
          <w:tcPr>
            <w:tcW w:w="850"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452697B2" w14:textId="77777777" w:rsidR="00982BB8" w:rsidRPr="009977FC" w:rsidRDefault="00982BB8" w:rsidP="00982BB8">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Quotas cibles - </w:t>
            </w:r>
          </w:p>
          <w:p w14:paraId="74964FD1" w14:textId="77777777" w:rsidR="00982BB8" w:rsidRPr="009977FC" w:rsidRDefault="00982BB8" w:rsidP="00982BB8">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Sondages </w:t>
            </w:r>
          </w:p>
          <w:p w14:paraId="1EB96ADA" w14:textId="4581020E" w:rsidR="0096505A" w:rsidRPr="009977FC" w:rsidRDefault="00982BB8" w:rsidP="00982BB8">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21BE551C"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 xml:space="preserve">Quotas cibles - Sondages </w:t>
            </w:r>
          </w:p>
          <w:p w14:paraId="53150DFF" w14:textId="614EA936"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63725DB4"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non pondérées)</w:t>
            </w:r>
          </w:p>
          <w:p w14:paraId="09FE2111" w14:textId="1DD3DA82"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276"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4B52D293"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non pondérées)</w:t>
            </w:r>
          </w:p>
          <w:p w14:paraId="473F77BD" w14:textId="3581B03D"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c>
          <w:tcPr>
            <w:tcW w:w="1134"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1CFC06E5"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pondérées)</w:t>
            </w:r>
          </w:p>
          <w:p w14:paraId="2AE1E473" w14:textId="43653701"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(n =)</w:t>
            </w:r>
          </w:p>
        </w:tc>
        <w:tc>
          <w:tcPr>
            <w:tcW w:w="1128" w:type="dxa"/>
            <w:tcBorders>
              <w:top w:val="nil"/>
              <w:left w:val="nil"/>
              <w:bottom w:val="single" w:sz="8" w:space="0" w:color="BFBFBF"/>
              <w:right w:val="single" w:sz="8" w:space="0" w:color="BFBFBF"/>
            </w:tcBorders>
            <w:shd w:val="clear" w:color="auto" w:fill="2FB5BF"/>
            <w:tcMar>
              <w:top w:w="0" w:type="dxa"/>
              <w:left w:w="108" w:type="dxa"/>
              <w:bottom w:w="0" w:type="dxa"/>
              <w:right w:w="108" w:type="dxa"/>
            </w:tcMar>
            <w:vAlign w:val="center"/>
            <w:hideMark/>
          </w:tcPr>
          <w:p w14:paraId="42D6B3A5" w14:textId="77777777" w:rsidR="00311FA6"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Sondages réalisés (données pondérées)</w:t>
            </w:r>
          </w:p>
          <w:p w14:paraId="75708BA4" w14:textId="0BA13764" w:rsidR="0096505A" w:rsidRPr="009977FC" w:rsidRDefault="0096505A" w:rsidP="00A0688F">
            <w:pPr>
              <w:spacing w:before="60" w:after="60" w:line="276" w:lineRule="auto"/>
              <w:jc w:val="center"/>
              <w:rPr>
                <w:rFonts w:asciiTheme="minorHAnsi" w:hAnsiTheme="minorHAnsi" w:cstheme="minorHAnsi"/>
                <w:b/>
                <w:bCs/>
                <w:color w:val="FFFFFF"/>
                <w:sz w:val="18"/>
                <w:szCs w:val="18"/>
              </w:rPr>
            </w:pPr>
            <w:r>
              <w:rPr>
                <w:rFonts w:asciiTheme="minorHAnsi" w:hAnsiTheme="minorHAnsi"/>
                <w:b/>
                <w:bCs/>
                <w:color w:val="FFFFFF"/>
                <w:sz w:val="18"/>
                <w:szCs w:val="18"/>
              </w:rPr>
              <w:t>(%)</w:t>
            </w:r>
          </w:p>
        </w:tc>
      </w:tr>
      <w:tr w:rsidR="0096505A" w:rsidRPr="00863EDF" w14:paraId="55707865"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BD05DB8" w14:textId="77777777" w:rsidR="0096505A" w:rsidRPr="0090343C" w:rsidRDefault="0096505A" w:rsidP="00A0688F">
            <w:pPr>
              <w:spacing w:before="60" w:after="60" w:line="276" w:lineRule="auto"/>
              <w:rPr>
                <w:rFonts w:asciiTheme="minorHAnsi" w:hAnsiTheme="minorHAnsi" w:cstheme="minorHAnsi"/>
                <w:szCs w:val="22"/>
              </w:rPr>
            </w:pPr>
            <w:r w:rsidRPr="0090343C">
              <w:rPr>
                <w:rFonts w:asciiTheme="minorHAnsi" w:hAnsiTheme="minorHAnsi"/>
                <w:szCs w:val="22"/>
              </w:rPr>
              <w:t>De 18 à 34 ans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A80BB9" w14:textId="59344D08"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27,4 %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D694AA"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516</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3124381" w14:textId="336CB353"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25,8 %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EB48E8C"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543</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FCD4CE1" w14:textId="28338FAB"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27,1 %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20B1A2C"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535</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EF7D9F0" w14:textId="6B041D48"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26,7 %</w:t>
            </w:r>
          </w:p>
        </w:tc>
      </w:tr>
      <w:tr w:rsidR="0096505A" w:rsidRPr="00863EDF" w14:paraId="315F2092"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6C79AF9" w14:textId="77777777" w:rsidR="0096505A" w:rsidRPr="0090343C" w:rsidRDefault="0096505A" w:rsidP="00A0688F">
            <w:pPr>
              <w:spacing w:before="60" w:after="60" w:line="276" w:lineRule="auto"/>
              <w:rPr>
                <w:rFonts w:asciiTheme="minorHAnsi" w:hAnsiTheme="minorHAnsi" w:cstheme="minorHAnsi"/>
                <w:szCs w:val="22"/>
              </w:rPr>
            </w:pPr>
            <w:r w:rsidRPr="0090343C">
              <w:rPr>
                <w:rFonts w:asciiTheme="minorHAnsi" w:hAnsiTheme="minorHAnsi"/>
                <w:szCs w:val="22"/>
              </w:rPr>
              <w:t>De 35 à 59 ans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912BF5" w14:textId="467C2391" w:rsidR="0096505A" w:rsidRPr="0090343C" w:rsidRDefault="00311FA6" w:rsidP="0004796F">
            <w:pPr>
              <w:spacing w:before="60" w:after="60" w:line="276" w:lineRule="auto"/>
              <w:jc w:val="center"/>
              <w:rPr>
                <w:rFonts w:asciiTheme="minorHAnsi" w:hAnsiTheme="minorHAnsi" w:cstheme="minorHAnsi"/>
                <w:vanish/>
                <w:szCs w:val="22"/>
              </w:rPr>
            </w:pPr>
            <w:r w:rsidRPr="0090343C">
              <w:rPr>
                <w:rFonts w:asciiTheme="minorHAnsi" w:hAnsiTheme="minorHAnsi"/>
                <w:szCs w:val="22"/>
              </w:rPr>
              <w:t>43,4 %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502640"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823</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D853B1" w14:textId="6C284107"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41,1 %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50FA377"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878</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3FED0DE" w14:textId="5D1B653E"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43,9 %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19F96D0"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874</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2696BF3" w14:textId="17E447AC"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43,7 %</w:t>
            </w:r>
          </w:p>
        </w:tc>
      </w:tr>
      <w:tr w:rsidR="0096505A" w:rsidRPr="00863EDF" w14:paraId="1AD1A7FA" w14:textId="77777777" w:rsidTr="00A0688F">
        <w:trPr>
          <w:jc w:val="center"/>
        </w:trPr>
        <w:tc>
          <w:tcPr>
            <w:tcW w:w="169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9714BF8" w14:textId="4F53B42F" w:rsidR="0096505A" w:rsidRPr="0090343C" w:rsidRDefault="0004796F" w:rsidP="00311FA6">
            <w:pPr>
              <w:spacing w:before="60" w:after="60" w:line="276" w:lineRule="auto"/>
              <w:rPr>
                <w:rFonts w:asciiTheme="minorHAnsi" w:hAnsiTheme="minorHAnsi" w:cstheme="minorHAnsi"/>
                <w:szCs w:val="22"/>
              </w:rPr>
            </w:pPr>
            <w:r w:rsidRPr="0090343C">
              <w:rPr>
                <w:rFonts w:asciiTheme="minorHAnsi" w:hAnsiTheme="minorHAnsi"/>
                <w:szCs w:val="22"/>
              </w:rPr>
              <w:t>Plus de 60 ans</w:t>
            </w:r>
          </w:p>
        </w:tc>
        <w:tc>
          <w:tcPr>
            <w:tcW w:w="85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A7C3525" w14:textId="236D4E97"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29,3 %</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0FB44C"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561</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8471CC" w14:textId="5F53AD7D"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28,1 %</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F0E5CB3"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581</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50724B4" w14:textId="7F07D85B" w:rsidR="0096505A" w:rsidRPr="0090343C" w:rsidRDefault="00311FA6" w:rsidP="00311FA6">
            <w:pPr>
              <w:spacing w:before="60" w:after="60" w:line="276" w:lineRule="auto"/>
              <w:jc w:val="center"/>
              <w:rPr>
                <w:rFonts w:asciiTheme="minorHAnsi" w:hAnsiTheme="minorHAnsi" w:cstheme="minorHAnsi"/>
                <w:vanish/>
                <w:szCs w:val="22"/>
              </w:rPr>
            </w:pPr>
            <w:r w:rsidRPr="0090343C">
              <w:rPr>
                <w:rFonts w:asciiTheme="minorHAnsi" w:hAnsiTheme="minorHAnsi"/>
                <w:szCs w:val="22"/>
              </w:rPr>
              <w:t>29,0 %</w:t>
            </w:r>
          </w:p>
        </w:tc>
        <w:tc>
          <w:tcPr>
            <w:tcW w:w="113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E17F9E3" w14:textId="77777777" w:rsidR="0096505A" w:rsidRPr="0090343C" w:rsidRDefault="0096505A" w:rsidP="00A0688F">
            <w:pPr>
              <w:spacing w:before="60" w:after="60" w:line="276" w:lineRule="auto"/>
              <w:jc w:val="center"/>
              <w:rPr>
                <w:rFonts w:asciiTheme="minorHAnsi" w:hAnsiTheme="minorHAnsi" w:cstheme="minorHAnsi"/>
                <w:vanish/>
                <w:szCs w:val="22"/>
              </w:rPr>
            </w:pPr>
            <w:r w:rsidRPr="0090343C">
              <w:rPr>
                <w:rFonts w:asciiTheme="minorHAnsi" w:hAnsiTheme="minorHAnsi"/>
                <w:szCs w:val="22"/>
              </w:rPr>
              <w:t>593</w:t>
            </w:r>
          </w:p>
        </w:tc>
        <w:tc>
          <w:tcPr>
            <w:tcW w:w="112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8DA53E7" w14:textId="2B9E5658" w:rsidR="0096505A" w:rsidRPr="0090343C" w:rsidRDefault="00311FA6" w:rsidP="00311FA6">
            <w:pPr>
              <w:spacing w:before="60" w:after="60" w:line="276" w:lineRule="auto"/>
              <w:jc w:val="center"/>
              <w:rPr>
                <w:rFonts w:asciiTheme="minorHAnsi" w:hAnsiTheme="minorHAnsi" w:cstheme="minorHAnsi"/>
                <w:szCs w:val="22"/>
              </w:rPr>
            </w:pPr>
            <w:r w:rsidRPr="0090343C">
              <w:rPr>
                <w:rFonts w:asciiTheme="minorHAnsi" w:hAnsiTheme="minorHAnsi"/>
                <w:szCs w:val="22"/>
              </w:rPr>
              <w:t>29,6 %</w:t>
            </w:r>
          </w:p>
        </w:tc>
      </w:tr>
    </w:tbl>
    <w:p w14:paraId="41B6A33F" w14:textId="77777777" w:rsidR="00311FA6" w:rsidRPr="009977FC" w:rsidRDefault="00311FA6" w:rsidP="0096505A">
      <w:pPr>
        <w:spacing w:line="192" w:lineRule="auto"/>
        <w:rPr>
          <w:rFonts w:asciiTheme="minorHAnsi" w:hAnsiTheme="minorHAnsi" w:cstheme="minorHAnsi"/>
          <w:lang w:eastAsia="x-none"/>
        </w:rPr>
      </w:pPr>
    </w:p>
    <w:p w14:paraId="4EC6798D" w14:textId="63866D65" w:rsidR="00311FA6" w:rsidRPr="009977FC" w:rsidRDefault="0096505A" w:rsidP="0096505A">
      <w:pPr>
        <w:spacing w:line="276" w:lineRule="auto"/>
        <w:rPr>
          <w:rFonts w:asciiTheme="minorHAnsi" w:hAnsiTheme="minorHAnsi" w:cstheme="minorHAnsi"/>
          <w:sz w:val="18"/>
          <w:szCs w:val="18"/>
        </w:rPr>
      </w:pPr>
      <w:r>
        <w:rPr>
          <w:rFonts w:asciiTheme="minorHAnsi" w:hAnsiTheme="minorHAnsi"/>
          <w:sz w:val="12"/>
          <w:szCs w:val="12"/>
        </w:rPr>
        <w:t>1</w:t>
      </w:r>
      <w:r>
        <w:rPr>
          <w:rFonts w:asciiTheme="minorHAnsi" w:hAnsiTheme="minorHAnsi"/>
          <w:sz w:val="18"/>
          <w:szCs w:val="18"/>
        </w:rPr>
        <w:t> Onze répondants ont précisé qu</w:t>
      </w:r>
      <w:r w:rsidR="00863EDF">
        <w:rPr>
          <w:rFonts w:asciiTheme="minorHAnsi" w:hAnsiTheme="minorHAnsi"/>
          <w:sz w:val="18"/>
          <w:szCs w:val="18"/>
        </w:rPr>
        <w:t>’</w:t>
      </w:r>
      <w:r>
        <w:rPr>
          <w:rFonts w:asciiTheme="minorHAnsi" w:hAnsiTheme="minorHAnsi"/>
          <w:sz w:val="18"/>
          <w:szCs w:val="18"/>
        </w:rPr>
        <w:t>ils étaient de diverses identités de genre et ne sont pas présentés dans le tableau.</w:t>
      </w:r>
    </w:p>
    <w:p w14:paraId="28AE34AD" w14:textId="55DD045B" w:rsidR="00311FA6" w:rsidRPr="009977FC" w:rsidRDefault="0096505A" w:rsidP="0096505A">
      <w:pPr>
        <w:spacing w:line="276" w:lineRule="auto"/>
        <w:rPr>
          <w:rFonts w:asciiTheme="minorHAnsi" w:hAnsiTheme="minorHAnsi" w:cstheme="minorHAnsi"/>
          <w:sz w:val="18"/>
          <w:szCs w:val="18"/>
        </w:rPr>
      </w:pPr>
      <w:r>
        <w:rPr>
          <w:rFonts w:asciiTheme="minorHAnsi" w:hAnsiTheme="minorHAnsi"/>
          <w:sz w:val="18"/>
          <w:szCs w:val="18"/>
          <w:vertAlign w:val="superscript"/>
        </w:rPr>
        <w:t>2</w:t>
      </w:r>
      <w:r>
        <w:rPr>
          <w:rFonts w:asciiTheme="minorHAnsi" w:hAnsiTheme="minorHAnsi"/>
          <w:sz w:val="18"/>
          <w:szCs w:val="18"/>
        </w:rPr>
        <w:t> Les données du recensement utilisées pour le statut d</w:t>
      </w:r>
      <w:r w:rsidR="00863EDF">
        <w:rPr>
          <w:rFonts w:asciiTheme="minorHAnsi" w:hAnsiTheme="minorHAnsi"/>
          <w:sz w:val="18"/>
          <w:szCs w:val="18"/>
        </w:rPr>
        <w:t>’</w:t>
      </w:r>
      <w:r>
        <w:rPr>
          <w:rFonts w:asciiTheme="minorHAnsi" w:hAnsiTheme="minorHAnsi"/>
          <w:sz w:val="18"/>
          <w:szCs w:val="18"/>
        </w:rPr>
        <w:t>immigrant concernaient les Canadiens de tous âges, et non seulement les adultes.</w:t>
      </w:r>
    </w:p>
    <w:p w14:paraId="3E27A897" w14:textId="77777777" w:rsidR="00311FA6" w:rsidRPr="009977FC" w:rsidRDefault="00311FA6" w:rsidP="0096505A">
      <w:pPr>
        <w:spacing w:line="192" w:lineRule="auto"/>
        <w:rPr>
          <w:rFonts w:asciiTheme="minorHAnsi" w:hAnsiTheme="minorHAnsi" w:cstheme="minorHAnsi"/>
          <w:lang w:eastAsia="x-none"/>
        </w:rPr>
      </w:pPr>
    </w:p>
    <w:p w14:paraId="2599EC20" w14:textId="1D3FB464" w:rsidR="00311FA6" w:rsidRPr="009977FC" w:rsidRDefault="0096505A" w:rsidP="0096505A">
      <w:pPr>
        <w:spacing w:line="276" w:lineRule="auto"/>
        <w:rPr>
          <w:rFonts w:asciiTheme="minorHAnsi" w:hAnsiTheme="minorHAnsi" w:cstheme="minorHAnsi"/>
          <w:sz w:val="24"/>
          <w:szCs w:val="28"/>
        </w:rPr>
      </w:pPr>
      <w:r>
        <w:rPr>
          <w:rFonts w:asciiTheme="minorHAnsi" w:hAnsiTheme="minorHAnsi"/>
          <w:b/>
          <w:sz w:val="24"/>
          <w:szCs w:val="28"/>
        </w:rPr>
        <w:t xml:space="preserve">Taux de participation : </w:t>
      </w:r>
      <w:r>
        <w:rPr>
          <w:rFonts w:asciiTheme="minorHAnsi" w:hAnsiTheme="minorHAnsi"/>
          <w:sz w:val="24"/>
          <w:szCs w:val="28"/>
        </w:rPr>
        <w:t>Le taux ci-dessous a été calculé à l</w:t>
      </w:r>
      <w:r w:rsidR="00863EDF">
        <w:rPr>
          <w:rFonts w:asciiTheme="minorHAnsi" w:hAnsiTheme="minorHAnsi"/>
          <w:sz w:val="24"/>
          <w:szCs w:val="28"/>
        </w:rPr>
        <w:t>’</w:t>
      </w:r>
      <w:r>
        <w:rPr>
          <w:rFonts w:asciiTheme="minorHAnsi" w:hAnsiTheme="minorHAnsi"/>
          <w:sz w:val="24"/>
          <w:szCs w:val="28"/>
        </w:rPr>
        <w:t>aide de la formule recommandée par la Direction de la recherche sur l</w:t>
      </w:r>
      <w:r w:rsidR="00863EDF">
        <w:rPr>
          <w:rFonts w:asciiTheme="minorHAnsi" w:hAnsiTheme="minorHAnsi"/>
          <w:sz w:val="24"/>
          <w:szCs w:val="28"/>
        </w:rPr>
        <w:t>’</w:t>
      </w:r>
      <w:r>
        <w:rPr>
          <w:rFonts w:asciiTheme="minorHAnsi" w:hAnsiTheme="minorHAnsi"/>
          <w:sz w:val="24"/>
          <w:szCs w:val="28"/>
        </w:rPr>
        <w:t>opinion publique du gouvernement du Canada :</w:t>
      </w:r>
    </w:p>
    <w:p w14:paraId="1D044B5D" w14:textId="77777777" w:rsidR="00311FA6" w:rsidRPr="009977FC" w:rsidRDefault="00311FA6" w:rsidP="0096505A">
      <w:pPr>
        <w:spacing w:line="192" w:lineRule="auto"/>
        <w:rPr>
          <w:rFonts w:asciiTheme="minorHAnsi" w:hAnsiTheme="minorHAnsi" w:cstheme="minorHAnsi"/>
          <w:lang w:eastAsia="x-none"/>
        </w:rPr>
      </w:pPr>
    </w:p>
    <w:p w14:paraId="51DEE890" w14:textId="77777777" w:rsidR="00311FA6" w:rsidRPr="009977FC" w:rsidRDefault="0096505A" w:rsidP="0096505A">
      <w:pPr>
        <w:spacing w:line="276" w:lineRule="auto"/>
        <w:rPr>
          <w:rFonts w:asciiTheme="minorHAnsi" w:hAnsiTheme="minorHAnsi" w:cstheme="minorHAnsi"/>
          <w:b/>
          <w:sz w:val="24"/>
          <w:szCs w:val="28"/>
          <w:u w:val="single"/>
        </w:rPr>
      </w:pPr>
      <w:r>
        <w:rPr>
          <w:rFonts w:asciiTheme="minorHAnsi" w:hAnsiTheme="minorHAnsi"/>
          <w:b/>
          <w:sz w:val="24"/>
          <w:szCs w:val="28"/>
          <w:u w:val="single"/>
        </w:rPr>
        <w:t>Sondage après la campagne</w:t>
      </w:r>
    </w:p>
    <w:p w14:paraId="7C2E1F74" w14:textId="48CBEA0E" w:rsidR="0096505A" w:rsidRPr="009977FC" w:rsidRDefault="0096505A" w:rsidP="0096505A">
      <w:pPr>
        <w:spacing w:line="192" w:lineRule="auto"/>
        <w:rPr>
          <w:rFonts w:asciiTheme="minorHAnsi" w:hAnsiTheme="minorHAnsi" w:cstheme="minorHAnsi"/>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6505A" w:rsidRPr="0090343C" w14:paraId="6A67E00F" w14:textId="77777777" w:rsidTr="00A0688F">
        <w:tc>
          <w:tcPr>
            <w:tcW w:w="7488" w:type="dxa"/>
            <w:vAlign w:val="center"/>
          </w:tcPr>
          <w:p w14:paraId="10799815" w14:textId="5C44AA30" w:rsidR="0096505A" w:rsidRPr="0090343C" w:rsidRDefault="0096505A" w:rsidP="00A0688F">
            <w:pPr>
              <w:spacing w:line="276" w:lineRule="auto"/>
              <w:rPr>
                <w:rFonts w:asciiTheme="minorHAnsi" w:hAnsiTheme="minorHAnsi" w:cstheme="minorHAnsi"/>
                <w:b/>
                <w:sz w:val="24"/>
                <w:szCs w:val="22"/>
                <w:u w:val="single"/>
              </w:rPr>
            </w:pPr>
            <w:r w:rsidRPr="0090343C">
              <w:rPr>
                <w:rFonts w:asciiTheme="minorHAnsi" w:hAnsiTheme="minorHAnsi"/>
                <w:sz w:val="24"/>
                <w:szCs w:val="22"/>
                <w:u w:val="single"/>
              </w:rPr>
              <w:t>Nombre total d</w:t>
            </w:r>
            <w:r w:rsidR="00863EDF" w:rsidRPr="0090343C">
              <w:rPr>
                <w:rFonts w:asciiTheme="minorHAnsi" w:hAnsiTheme="minorHAnsi"/>
                <w:sz w:val="24"/>
                <w:szCs w:val="22"/>
                <w:u w:val="single"/>
              </w:rPr>
              <w:t>’</w:t>
            </w:r>
            <w:r w:rsidRPr="0090343C">
              <w:rPr>
                <w:rFonts w:asciiTheme="minorHAnsi" w:hAnsiTheme="minorHAnsi"/>
                <w:sz w:val="24"/>
                <w:szCs w:val="22"/>
                <w:u w:val="single"/>
              </w:rPr>
              <w:t xml:space="preserve">adresses électroniques utilisées </w:t>
            </w:r>
            <w:r w:rsidRPr="0090343C">
              <w:rPr>
                <w:rFonts w:asciiTheme="minorHAnsi" w:hAnsiTheme="minorHAnsi"/>
                <w:sz w:val="24"/>
                <w:szCs w:val="22"/>
              </w:rPr>
              <w:tab/>
            </w:r>
          </w:p>
        </w:tc>
        <w:tc>
          <w:tcPr>
            <w:tcW w:w="1152" w:type="dxa"/>
          </w:tcPr>
          <w:p w14:paraId="23CC29AF" w14:textId="07164C64" w:rsidR="0096505A" w:rsidRPr="0090343C" w:rsidRDefault="00311FA6" w:rsidP="00311FA6">
            <w:pPr>
              <w:spacing w:line="276" w:lineRule="auto"/>
              <w:jc w:val="center"/>
              <w:rPr>
                <w:rFonts w:asciiTheme="minorHAnsi" w:hAnsiTheme="minorHAnsi" w:cstheme="minorHAnsi"/>
                <w:b/>
                <w:sz w:val="24"/>
                <w:szCs w:val="22"/>
                <w:u w:val="single"/>
              </w:rPr>
            </w:pPr>
            <w:r w:rsidRPr="0090343C">
              <w:rPr>
                <w:rFonts w:asciiTheme="minorHAnsi" w:hAnsiTheme="minorHAnsi"/>
                <w:b/>
                <w:sz w:val="24"/>
                <w:szCs w:val="22"/>
                <w:u w:val="single"/>
                <w:lang w:eastAsia="x-none"/>
              </w:rPr>
              <w:t>19 580</w:t>
            </w:r>
          </w:p>
        </w:tc>
      </w:tr>
    </w:tbl>
    <w:p w14:paraId="6F8CAF1B" w14:textId="77777777" w:rsidR="00311FA6" w:rsidRPr="0090343C" w:rsidRDefault="00311FA6" w:rsidP="0096505A">
      <w:pPr>
        <w:spacing w:line="120" w:lineRule="auto"/>
        <w:rPr>
          <w:rFonts w:asciiTheme="minorHAnsi" w:hAnsiTheme="minorHAnsi" w:cstheme="minorHAnsi"/>
          <w:lang w:eastAsia="x-none"/>
        </w:rPr>
      </w:pPr>
    </w:p>
    <w:p w14:paraId="0D8E6BA3" w14:textId="77777777" w:rsidR="0096505A" w:rsidRPr="0090343C" w:rsidRDefault="0096505A" w:rsidP="0096505A">
      <w:pPr>
        <w:spacing w:line="276" w:lineRule="auto"/>
        <w:rPr>
          <w:rFonts w:asciiTheme="minorHAnsi" w:hAnsiTheme="minorHAnsi" w:cstheme="minorHAnsi"/>
          <w:sz w:val="24"/>
          <w:szCs w:val="28"/>
          <w:u w:val="single"/>
        </w:rPr>
      </w:pPr>
      <w:r w:rsidRPr="0090343C">
        <w:rPr>
          <w:rFonts w:asciiTheme="minorHAnsi" w:hAnsiTheme="minorHAnsi"/>
          <w:sz w:val="24"/>
          <w:szCs w:val="28"/>
          <w:u w:val="single"/>
        </w:rPr>
        <w:t>Cas non valides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0343C" w:rsidRPr="0090343C" w14:paraId="1243D68C" w14:textId="77777777" w:rsidTr="00A0688F">
        <w:tc>
          <w:tcPr>
            <w:tcW w:w="7488" w:type="dxa"/>
            <w:vAlign w:val="center"/>
          </w:tcPr>
          <w:p w14:paraId="2BC413C6" w14:textId="63FCD382"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Invitations envoyées par erreur à des personnes qui ne se qualifient pas pour l</w:t>
            </w:r>
            <w:r w:rsidR="00863EDF" w:rsidRPr="0090343C">
              <w:rPr>
                <w:rFonts w:asciiTheme="minorHAnsi" w:hAnsiTheme="minorHAnsi"/>
                <w:sz w:val="24"/>
                <w:szCs w:val="22"/>
              </w:rPr>
              <w:t>’</w:t>
            </w:r>
            <w:r w:rsidRPr="0090343C">
              <w:rPr>
                <w:rFonts w:asciiTheme="minorHAnsi" w:hAnsiTheme="minorHAnsi"/>
                <w:sz w:val="24"/>
                <w:szCs w:val="22"/>
              </w:rPr>
              <w:t>étude :</w:t>
            </w:r>
          </w:p>
        </w:tc>
        <w:tc>
          <w:tcPr>
            <w:tcW w:w="1152" w:type="dxa"/>
          </w:tcPr>
          <w:p w14:paraId="1C375851"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980</w:t>
            </w:r>
          </w:p>
        </w:tc>
      </w:tr>
      <w:tr w:rsidR="0096505A" w:rsidRPr="0090343C" w14:paraId="57F1B2CB" w14:textId="77777777" w:rsidTr="00A0688F">
        <w:tc>
          <w:tcPr>
            <w:tcW w:w="7488" w:type="dxa"/>
            <w:vAlign w:val="center"/>
          </w:tcPr>
          <w:p w14:paraId="4F8A7866" w14:textId="77777777" w:rsidR="0096505A" w:rsidRPr="0090343C" w:rsidRDefault="0096505A" w:rsidP="00A0688F">
            <w:pPr>
              <w:spacing w:line="276" w:lineRule="auto"/>
              <w:ind w:firstLine="252"/>
              <w:rPr>
                <w:rFonts w:asciiTheme="minorHAnsi" w:hAnsiTheme="minorHAnsi" w:cstheme="minorHAnsi"/>
                <w:b/>
                <w:sz w:val="24"/>
                <w:szCs w:val="22"/>
                <w:u w:val="single"/>
              </w:rPr>
            </w:pPr>
            <w:r w:rsidRPr="0090343C">
              <w:rPr>
                <w:rFonts w:asciiTheme="minorHAnsi" w:hAnsiTheme="minorHAnsi"/>
                <w:sz w:val="24"/>
                <w:szCs w:val="22"/>
              </w:rPr>
              <w:t>Adresses électroniques incomplètes ou manquantes :</w:t>
            </w:r>
            <w:r w:rsidRPr="0090343C">
              <w:rPr>
                <w:rFonts w:asciiTheme="minorHAnsi" w:hAnsiTheme="minorHAnsi"/>
                <w:sz w:val="24"/>
                <w:szCs w:val="22"/>
              </w:rPr>
              <w:tab/>
            </w:r>
          </w:p>
        </w:tc>
        <w:tc>
          <w:tcPr>
            <w:tcW w:w="1152" w:type="dxa"/>
          </w:tcPr>
          <w:p w14:paraId="0E39BC19"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0</w:t>
            </w:r>
          </w:p>
        </w:tc>
      </w:tr>
    </w:tbl>
    <w:p w14:paraId="03269400" w14:textId="77777777" w:rsidR="00311FA6" w:rsidRPr="0090343C" w:rsidRDefault="00311FA6" w:rsidP="0096505A">
      <w:pPr>
        <w:spacing w:line="120" w:lineRule="auto"/>
        <w:rPr>
          <w:rFonts w:asciiTheme="minorHAnsi" w:hAnsiTheme="minorHAnsi" w:cstheme="minorHAnsi"/>
          <w:lang w:eastAsia="x-none"/>
        </w:rPr>
      </w:pPr>
    </w:p>
    <w:p w14:paraId="32D4CD51" w14:textId="77777777" w:rsidR="0096505A" w:rsidRPr="0090343C" w:rsidRDefault="0096505A" w:rsidP="0096505A">
      <w:pPr>
        <w:spacing w:line="276" w:lineRule="auto"/>
        <w:rPr>
          <w:rFonts w:asciiTheme="minorHAnsi" w:hAnsiTheme="minorHAnsi" w:cstheme="minorHAnsi"/>
          <w:sz w:val="24"/>
          <w:szCs w:val="28"/>
          <w:u w:val="single"/>
        </w:rPr>
      </w:pPr>
      <w:r w:rsidRPr="0090343C">
        <w:rPr>
          <w:rFonts w:asciiTheme="minorHAnsi" w:hAnsiTheme="minorHAnsi"/>
          <w:sz w:val="24"/>
          <w:szCs w:val="28"/>
          <w:u w:val="single"/>
        </w:rPr>
        <w:t>Non résolu (NR)</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0343C" w:rsidRPr="0090343C" w14:paraId="3D955B15" w14:textId="77777777" w:rsidTr="00A0688F">
        <w:tc>
          <w:tcPr>
            <w:tcW w:w="7488" w:type="dxa"/>
            <w:vAlign w:val="center"/>
          </w:tcPr>
          <w:p w14:paraId="28D57C8F" w14:textId="59BA7E14"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Courriels d</w:t>
            </w:r>
            <w:r w:rsidR="00863EDF" w:rsidRPr="0090343C">
              <w:rPr>
                <w:rFonts w:asciiTheme="minorHAnsi" w:hAnsiTheme="minorHAnsi"/>
                <w:sz w:val="24"/>
                <w:szCs w:val="22"/>
              </w:rPr>
              <w:t>’</w:t>
            </w:r>
            <w:r w:rsidRPr="0090343C">
              <w:rPr>
                <w:rFonts w:asciiTheme="minorHAnsi" w:hAnsiTheme="minorHAnsi"/>
                <w:sz w:val="24"/>
                <w:szCs w:val="22"/>
              </w:rPr>
              <w:t>invitation qui rebondissent :</w:t>
            </w:r>
          </w:p>
        </w:tc>
        <w:tc>
          <w:tcPr>
            <w:tcW w:w="1152" w:type="dxa"/>
          </w:tcPr>
          <w:p w14:paraId="21185584"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0</w:t>
            </w:r>
          </w:p>
        </w:tc>
      </w:tr>
      <w:tr w:rsidR="0096505A" w:rsidRPr="0090343C" w14:paraId="559A5619" w14:textId="77777777" w:rsidTr="00A0688F">
        <w:tc>
          <w:tcPr>
            <w:tcW w:w="7488" w:type="dxa"/>
            <w:vAlign w:val="center"/>
          </w:tcPr>
          <w:p w14:paraId="25D3FBF6" w14:textId="6FB7D241"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Courriels d</w:t>
            </w:r>
            <w:r w:rsidR="00863EDF" w:rsidRPr="0090343C">
              <w:rPr>
                <w:rFonts w:asciiTheme="minorHAnsi" w:hAnsiTheme="minorHAnsi"/>
                <w:sz w:val="24"/>
                <w:szCs w:val="22"/>
              </w:rPr>
              <w:t>’</w:t>
            </w:r>
            <w:r w:rsidRPr="0090343C">
              <w:rPr>
                <w:rFonts w:asciiTheme="minorHAnsi" w:hAnsiTheme="minorHAnsi"/>
                <w:sz w:val="24"/>
                <w:szCs w:val="22"/>
              </w:rPr>
              <w:t>invitation qui demeurent sans réponse :</w:t>
            </w:r>
            <w:r w:rsidRPr="0090343C">
              <w:rPr>
                <w:rFonts w:asciiTheme="minorHAnsi" w:hAnsiTheme="minorHAnsi"/>
                <w:sz w:val="24"/>
                <w:szCs w:val="22"/>
              </w:rPr>
              <w:tab/>
            </w:r>
          </w:p>
        </w:tc>
        <w:tc>
          <w:tcPr>
            <w:tcW w:w="1152" w:type="dxa"/>
          </w:tcPr>
          <w:p w14:paraId="5075E335" w14:textId="47284B81" w:rsidR="0096505A" w:rsidRPr="0090343C" w:rsidRDefault="00311FA6" w:rsidP="00311FA6">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14 169</w:t>
            </w:r>
          </w:p>
        </w:tc>
      </w:tr>
    </w:tbl>
    <w:p w14:paraId="7A087AC5" w14:textId="77777777" w:rsidR="00311FA6" w:rsidRPr="0090343C" w:rsidRDefault="00311FA6" w:rsidP="0096505A">
      <w:pPr>
        <w:spacing w:line="120" w:lineRule="auto"/>
        <w:rPr>
          <w:rFonts w:asciiTheme="minorHAnsi" w:hAnsiTheme="minorHAnsi" w:cstheme="minorHAnsi"/>
          <w:lang w:eastAsia="x-none"/>
        </w:rPr>
      </w:pPr>
    </w:p>
    <w:p w14:paraId="3A169A86" w14:textId="77777777" w:rsidR="0096505A" w:rsidRPr="0090343C" w:rsidRDefault="0096505A" w:rsidP="0096505A">
      <w:pPr>
        <w:spacing w:line="276" w:lineRule="auto"/>
        <w:rPr>
          <w:rFonts w:asciiTheme="minorHAnsi" w:hAnsiTheme="minorHAnsi" w:cstheme="minorHAnsi"/>
          <w:sz w:val="24"/>
          <w:szCs w:val="28"/>
          <w:u w:val="single"/>
        </w:rPr>
      </w:pPr>
      <w:r w:rsidRPr="0090343C">
        <w:rPr>
          <w:rFonts w:asciiTheme="minorHAnsi" w:hAnsiTheme="minorHAnsi"/>
          <w:sz w:val="24"/>
          <w:szCs w:val="28"/>
          <w:u w:val="single"/>
        </w:rPr>
        <w:t>Unités admissibles non répondantes (UA)</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0343C" w:rsidRPr="0090343C" w14:paraId="6CAC8D3E" w14:textId="77777777" w:rsidTr="00A0688F">
        <w:tc>
          <w:tcPr>
            <w:tcW w:w="7488" w:type="dxa"/>
            <w:vAlign w:val="center"/>
          </w:tcPr>
          <w:p w14:paraId="1032EC36" w14:textId="77777777"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Pas de réponse des répondants admissibles :</w:t>
            </w:r>
          </w:p>
        </w:tc>
        <w:tc>
          <w:tcPr>
            <w:tcW w:w="1152" w:type="dxa"/>
          </w:tcPr>
          <w:p w14:paraId="0C9C8BD1"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0</w:t>
            </w:r>
          </w:p>
        </w:tc>
      </w:tr>
      <w:tr w:rsidR="0090343C" w:rsidRPr="0090343C" w14:paraId="370E418A" w14:textId="77777777" w:rsidTr="00A0688F">
        <w:tc>
          <w:tcPr>
            <w:tcW w:w="7488" w:type="dxa"/>
            <w:vAlign w:val="center"/>
          </w:tcPr>
          <w:p w14:paraId="32B365D5" w14:textId="77777777"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Refus du répondant</w:t>
            </w:r>
          </w:p>
        </w:tc>
        <w:tc>
          <w:tcPr>
            <w:tcW w:w="1152" w:type="dxa"/>
          </w:tcPr>
          <w:p w14:paraId="27565BD8"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0</w:t>
            </w:r>
          </w:p>
        </w:tc>
      </w:tr>
      <w:tr w:rsidR="0090343C" w:rsidRPr="0090343C" w14:paraId="0D533889" w14:textId="77777777" w:rsidTr="00A0688F">
        <w:tc>
          <w:tcPr>
            <w:tcW w:w="7488" w:type="dxa"/>
            <w:vAlign w:val="center"/>
          </w:tcPr>
          <w:p w14:paraId="38F51D54" w14:textId="77777777"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Problème de langue :</w:t>
            </w:r>
          </w:p>
        </w:tc>
        <w:tc>
          <w:tcPr>
            <w:tcW w:w="1152" w:type="dxa"/>
          </w:tcPr>
          <w:p w14:paraId="2E730352"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0</w:t>
            </w:r>
          </w:p>
        </w:tc>
      </w:tr>
      <w:tr w:rsidR="0090343C" w:rsidRPr="0090343C" w14:paraId="20F56312" w14:textId="77777777" w:rsidTr="00A0688F">
        <w:tc>
          <w:tcPr>
            <w:tcW w:w="7488" w:type="dxa"/>
            <w:vAlign w:val="center"/>
          </w:tcPr>
          <w:p w14:paraId="4CAC87C8" w14:textId="77777777"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 xml:space="preserve">Répondants admissibles non disponibles </w:t>
            </w:r>
            <w:r w:rsidRPr="0090343C">
              <w:rPr>
                <w:rFonts w:asciiTheme="minorHAnsi" w:hAnsiTheme="minorHAnsi"/>
                <w:sz w:val="20"/>
              </w:rPr>
              <w:t>(maladie, congé, vacances, autres) :</w:t>
            </w:r>
          </w:p>
        </w:tc>
        <w:tc>
          <w:tcPr>
            <w:tcW w:w="1152" w:type="dxa"/>
          </w:tcPr>
          <w:p w14:paraId="11E1DD59"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0</w:t>
            </w:r>
          </w:p>
        </w:tc>
      </w:tr>
      <w:tr w:rsidR="0096505A" w:rsidRPr="0090343C" w14:paraId="63F68DA5" w14:textId="77777777" w:rsidTr="00A0688F">
        <w:tc>
          <w:tcPr>
            <w:tcW w:w="7488" w:type="dxa"/>
            <w:vAlign w:val="center"/>
          </w:tcPr>
          <w:p w14:paraId="00E664D0" w14:textId="77777777"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Interruptions prématurées :</w:t>
            </w:r>
          </w:p>
        </w:tc>
        <w:tc>
          <w:tcPr>
            <w:tcW w:w="1152" w:type="dxa"/>
          </w:tcPr>
          <w:p w14:paraId="21B626AD"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257</w:t>
            </w:r>
          </w:p>
        </w:tc>
      </w:tr>
    </w:tbl>
    <w:p w14:paraId="325ACF4E" w14:textId="77777777" w:rsidR="00311FA6" w:rsidRPr="0090343C" w:rsidRDefault="00311FA6" w:rsidP="0096505A">
      <w:pPr>
        <w:spacing w:line="120" w:lineRule="auto"/>
        <w:rPr>
          <w:rFonts w:asciiTheme="minorHAnsi" w:hAnsiTheme="minorHAnsi" w:cstheme="minorHAnsi"/>
          <w:lang w:eastAsia="x-none"/>
        </w:rPr>
      </w:pPr>
    </w:p>
    <w:p w14:paraId="41639573" w14:textId="77777777" w:rsidR="0096505A" w:rsidRPr="0090343C" w:rsidRDefault="0096505A" w:rsidP="0096505A">
      <w:pPr>
        <w:spacing w:line="276" w:lineRule="auto"/>
        <w:rPr>
          <w:rFonts w:asciiTheme="minorHAnsi" w:hAnsiTheme="minorHAnsi" w:cstheme="minorHAnsi"/>
          <w:sz w:val="24"/>
          <w:szCs w:val="28"/>
          <w:u w:val="single"/>
        </w:rPr>
      </w:pPr>
      <w:r w:rsidRPr="0090343C">
        <w:rPr>
          <w:rFonts w:asciiTheme="minorHAnsi" w:hAnsiTheme="minorHAnsi"/>
          <w:sz w:val="24"/>
          <w:szCs w:val="28"/>
          <w:u w:val="single"/>
        </w:rPr>
        <w:t>Unités répondantes (R)</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0343C" w:rsidRPr="0090343C" w14:paraId="5FB345C6" w14:textId="77777777" w:rsidTr="00A0688F">
        <w:tc>
          <w:tcPr>
            <w:tcW w:w="7488" w:type="dxa"/>
            <w:vAlign w:val="center"/>
          </w:tcPr>
          <w:p w14:paraId="24693E43" w14:textId="77777777"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 xml:space="preserve">Sondages terminés, mais déclarés inadmissibles – quotas atteints : </w:t>
            </w:r>
            <w:r w:rsidRPr="0090343C">
              <w:rPr>
                <w:rFonts w:asciiTheme="minorHAnsi" w:hAnsiTheme="minorHAnsi"/>
                <w:sz w:val="24"/>
                <w:szCs w:val="22"/>
              </w:rPr>
              <w:tab/>
            </w:r>
          </w:p>
        </w:tc>
        <w:tc>
          <w:tcPr>
            <w:tcW w:w="1152" w:type="dxa"/>
          </w:tcPr>
          <w:p w14:paraId="74864FE0" w14:textId="2D367236" w:rsidR="0096505A" w:rsidRPr="0090343C" w:rsidRDefault="00311FA6" w:rsidP="00311FA6">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2 088</w:t>
            </w:r>
          </w:p>
        </w:tc>
      </w:tr>
      <w:tr w:rsidR="0090343C" w:rsidRPr="0090343C" w14:paraId="5B489FC6" w14:textId="77777777" w:rsidTr="00A0688F">
        <w:tc>
          <w:tcPr>
            <w:tcW w:w="7488" w:type="dxa"/>
            <w:vAlign w:val="center"/>
          </w:tcPr>
          <w:p w14:paraId="7B88B171" w14:textId="6917E581"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Sondages terminés, mais déclarés inadmissibles pour d</w:t>
            </w:r>
            <w:r w:rsidR="00863EDF" w:rsidRPr="0090343C">
              <w:rPr>
                <w:rFonts w:asciiTheme="minorHAnsi" w:hAnsiTheme="minorHAnsi"/>
                <w:sz w:val="24"/>
                <w:szCs w:val="22"/>
              </w:rPr>
              <w:t>’</w:t>
            </w:r>
            <w:r w:rsidRPr="0090343C">
              <w:rPr>
                <w:rFonts w:asciiTheme="minorHAnsi" w:hAnsiTheme="minorHAnsi"/>
                <w:sz w:val="24"/>
                <w:szCs w:val="22"/>
              </w:rPr>
              <w:t>autres raisons </w:t>
            </w:r>
            <w:r w:rsidR="00B8750C" w:rsidRPr="0090343C">
              <w:rPr>
                <w:rFonts w:asciiTheme="minorHAnsi" w:hAnsiTheme="minorHAnsi"/>
                <w:sz w:val="24"/>
                <w:szCs w:val="22"/>
              </w:rPr>
              <w:t xml:space="preserve">: </w:t>
            </w:r>
          </w:p>
        </w:tc>
        <w:tc>
          <w:tcPr>
            <w:tcW w:w="1152" w:type="dxa"/>
          </w:tcPr>
          <w:p w14:paraId="460C2733" w14:textId="77777777" w:rsidR="0096505A" w:rsidRPr="0090343C" w:rsidRDefault="0096505A" w:rsidP="00A0688F">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84</w:t>
            </w:r>
          </w:p>
        </w:tc>
      </w:tr>
      <w:tr w:rsidR="0096505A" w:rsidRPr="0090343C" w14:paraId="3D3BE07C" w14:textId="77777777" w:rsidTr="00A0688F">
        <w:tc>
          <w:tcPr>
            <w:tcW w:w="7488" w:type="dxa"/>
            <w:vAlign w:val="center"/>
          </w:tcPr>
          <w:p w14:paraId="0C265D61" w14:textId="77777777" w:rsidR="0096505A" w:rsidRPr="0090343C" w:rsidRDefault="0096505A" w:rsidP="00A0688F">
            <w:pPr>
              <w:spacing w:line="276" w:lineRule="auto"/>
              <w:ind w:firstLine="252"/>
              <w:rPr>
                <w:rFonts w:asciiTheme="minorHAnsi" w:hAnsiTheme="minorHAnsi" w:cstheme="minorHAnsi"/>
                <w:sz w:val="24"/>
                <w:szCs w:val="22"/>
              </w:rPr>
            </w:pPr>
            <w:r w:rsidRPr="0090343C">
              <w:rPr>
                <w:rFonts w:asciiTheme="minorHAnsi" w:hAnsiTheme="minorHAnsi"/>
                <w:sz w:val="24"/>
                <w:szCs w:val="22"/>
              </w:rPr>
              <w:t>Sondages terminés :</w:t>
            </w:r>
          </w:p>
        </w:tc>
        <w:tc>
          <w:tcPr>
            <w:tcW w:w="1152" w:type="dxa"/>
          </w:tcPr>
          <w:p w14:paraId="36D8FBAD" w14:textId="50519D79" w:rsidR="0096505A" w:rsidRPr="0090343C" w:rsidRDefault="00311FA6" w:rsidP="00311FA6">
            <w:pPr>
              <w:spacing w:line="276" w:lineRule="auto"/>
              <w:jc w:val="center"/>
              <w:rPr>
                <w:rFonts w:asciiTheme="minorHAnsi" w:hAnsiTheme="minorHAnsi" w:cstheme="minorHAnsi"/>
                <w:sz w:val="24"/>
                <w:szCs w:val="22"/>
              </w:rPr>
            </w:pPr>
            <w:r w:rsidRPr="0090343C">
              <w:rPr>
                <w:rFonts w:asciiTheme="minorHAnsi" w:hAnsiTheme="minorHAnsi"/>
                <w:sz w:val="24"/>
                <w:szCs w:val="22"/>
                <w:lang w:eastAsia="x-none"/>
              </w:rPr>
              <w:t>2 002</w:t>
            </w:r>
          </w:p>
        </w:tc>
      </w:tr>
    </w:tbl>
    <w:p w14:paraId="60CFB7EE" w14:textId="77777777" w:rsidR="00311FA6" w:rsidRPr="0090343C" w:rsidRDefault="00311FA6" w:rsidP="0096505A">
      <w:pPr>
        <w:spacing w:line="120" w:lineRule="auto"/>
        <w:rPr>
          <w:rFonts w:asciiTheme="minorHAnsi" w:hAnsiTheme="minorHAnsi" w:cstheme="minorHAnsi"/>
          <w:lang w:eastAsia="x-none"/>
        </w:rPr>
      </w:pPr>
    </w:p>
    <w:p w14:paraId="15EC59DD" w14:textId="0DA21CDF" w:rsidR="00311FA6" w:rsidRPr="0090343C" w:rsidRDefault="0096505A" w:rsidP="0096505A">
      <w:pPr>
        <w:spacing w:line="276" w:lineRule="auto"/>
        <w:rPr>
          <w:rFonts w:asciiTheme="minorHAnsi" w:hAnsiTheme="minorHAnsi" w:cstheme="minorHAnsi"/>
          <w:sz w:val="24"/>
          <w:szCs w:val="28"/>
        </w:rPr>
      </w:pPr>
      <w:r w:rsidRPr="0090343C">
        <w:rPr>
          <w:rFonts w:asciiTheme="minorHAnsi" w:hAnsiTheme="minorHAnsi"/>
          <w:sz w:val="24"/>
          <w:szCs w:val="28"/>
        </w:rPr>
        <w:t>Taux de participation à la phase suivant la campagne = T/(NR + UA + R) =</w:t>
      </w:r>
      <w:r w:rsidRPr="0090343C">
        <w:rPr>
          <w:rFonts w:asciiTheme="minorHAnsi" w:hAnsiTheme="minorHAnsi"/>
          <w:b/>
          <w:bCs/>
          <w:sz w:val="24"/>
          <w:szCs w:val="28"/>
        </w:rPr>
        <w:t xml:space="preserve"> 4 174</w:t>
      </w:r>
      <w:r w:rsidRPr="0090343C">
        <w:rPr>
          <w:rFonts w:asciiTheme="minorHAnsi" w:hAnsiTheme="minorHAnsi"/>
          <w:b/>
          <w:sz w:val="24"/>
          <w:szCs w:val="28"/>
        </w:rPr>
        <w:t>/(14 169 + 257 + 4 174) = 22,4 %</w:t>
      </w:r>
    </w:p>
    <w:p w14:paraId="423AD837" w14:textId="041E3F8D" w:rsidR="00311FA6" w:rsidRPr="009977FC" w:rsidRDefault="00311FA6">
      <w:pPr>
        <w:rPr>
          <w:rFonts w:asciiTheme="minorHAnsi" w:hAnsiTheme="minorHAnsi" w:cstheme="minorHAnsi"/>
          <w:sz w:val="24"/>
          <w:szCs w:val="28"/>
        </w:rPr>
      </w:pPr>
    </w:p>
    <w:p w14:paraId="2B924C7B" w14:textId="4830EC37" w:rsidR="00311FA6" w:rsidRPr="009977FC" w:rsidRDefault="0096505A" w:rsidP="0096505A">
      <w:pPr>
        <w:spacing w:line="276" w:lineRule="auto"/>
        <w:ind w:right="-131"/>
        <w:rPr>
          <w:rFonts w:asciiTheme="minorHAnsi" w:hAnsiTheme="minorHAnsi" w:cstheme="minorHAnsi"/>
          <w:sz w:val="24"/>
          <w:szCs w:val="28"/>
        </w:rPr>
      </w:pPr>
      <w:r>
        <w:rPr>
          <w:rFonts w:asciiTheme="minorHAnsi" w:hAnsiTheme="minorHAnsi"/>
          <w:sz w:val="24"/>
          <w:szCs w:val="28"/>
        </w:rPr>
        <w:t>Des rappels ont été envoyés aux répondants potentiels qui étaient invités à répondre au sondage, mais qui ont choisi de ne pas le faire. Puisque la méthodologie en ligne a reposé sur un échantillonnage non probabiliste, il est impossible d</w:t>
      </w:r>
      <w:r w:rsidR="00863EDF">
        <w:rPr>
          <w:rFonts w:asciiTheme="minorHAnsi" w:hAnsiTheme="minorHAnsi"/>
          <w:sz w:val="24"/>
          <w:szCs w:val="28"/>
        </w:rPr>
        <w:t>’</w:t>
      </w:r>
      <w:r>
        <w:rPr>
          <w:rFonts w:asciiTheme="minorHAnsi" w:hAnsiTheme="minorHAnsi"/>
          <w:sz w:val="24"/>
          <w:szCs w:val="28"/>
        </w:rPr>
        <w:t>appliquer une marge d</w:t>
      </w:r>
      <w:r w:rsidR="00863EDF">
        <w:rPr>
          <w:rFonts w:asciiTheme="minorHAnsi" w:hAnsiTheme="minorHAnsi"/>
          <w:sz w:val="24"/>
          <w:szCs w:val="28"/>
        </w:rPr>
        <w:t>’</w:t>
      </w:r>
      <w:r>
        <w:rPr>
          <w:rFonts w:asciiTheme="minorHAnsi" w:hAnsiTheme="minorHAnsi"/>
          <w:sz w:val="24"/>
          <w:szCs w:val="28"/>
        </w:rPr>
        <w:t>erreur aux résultats conformément aux Normes pour la recherche sur l</w:t>
      </w:r>
      <w:r w:rsidR="00863EDF">
        <w:rPr>
          <w:rFonts w:asciiTheme="minorHAnsi" w:hAnsiTheme="minorHAnsi"/>
          <w:sz w:val="24"/>
          <w:szCs w:val="28"/>
        </w:rPr>
        <w:t>’</w:t>
      </w:r>
      <w:r>
        <w:rPr>
          <w:rFonts w:asciiTheme="minorHAnsi" w:hAnsiTheme="minorHAnsi"/>
          <w:sz w:val="24"/>
          <w:szCs w:val="28"/>
        </w:rPr>
        <w:t>opinion publique effectuée par le gouvernement du Canada pour les sondages en ligne</w:t>
      </w:r>
      <w:r w:rsidR="00B8750C">
        <w:rPr>
          <w:rFonts w:asciiTheme="minorHAnsi" w:hAnsiTheme="minorHAnsi"/>
          <w:sz w:val="24"/>
          <w:szCs w:val="28"/>
        </w:rPr>
        <w:t xml:space="preserve">. </w:t>
      </w:r>
    </w:p>
    <w:p w14:paraId="268CDFE1" w14:textId="77777777" w:rsidR="00311FA6" w:rsidRPr="009977FC" w:rsidRDefault="00311FA6" w:rsidP="0096505A">
      <w:pPr>
        <w:spacing w:line="276" w:lineRule="auto"/>
        <w:ind w:right="-131"/>
        <w:rPr>
          <w:rFonts w:asciiTheme="minorHAnsi" w:hAnsiTheme="minorHAnsi" w:cstheme="minorHAnsi"/>
          <w:lang w:eastAsia="x-none"/>
        </w:rPr>
      </w:pPr>
    </w:p>
    <w:p w14:paraId="081742DE" w14:textId="397172D9" w:rsidR="00311FA6" w:rsidRPr="00FA1893" w:rsidRDefault="00311FA6" w:rsidP="00FA1893">
      <w:pPr>
        <w:spacing w:line="276" w:lineRule="auto"/>
        <w:rPr>
          <w:rFonts w:asciiTheme="minorHAnsi" w:hAnsiTheme="minorHAnsi"/>
          <w:bCs/>
          <w:color w:val="23B2BE"/>
          <w:sz w:val="28"/>
          <w:szCs w:val="28"/>
        </w:rPr>
      </w:pPr>
      <w:bookmarkStart w:id="13" w:name="_Toc111128293"/>
      <w:r w:rsidRPr="00FA1893">
        <w:rPr>
          <w:rFonts w:asciiTheme="minorHAnsi" w:hAnsiTheme="minorHAnsi"/>
          <w:bCs/>
          <w:color w:val="23B2BE"/>
          <w:sz w:val="28"/>
          <w:szCs w:val="28"/>
        </w:rPr>
        <w:t>Biais de non-réponse</w:t>
      </w:r>
      <w:bookmarkEnd w:id="13"/>
    </w:p>
    <w:p w14:paraId="7F6CF5A4" w14:textId="77777777" w:rsidR="00311FA6" w:rsidRPr="009977FC" w:rsidRDefault="00311FA6" w:rsidP="0096505A">
      <w:pPr>
        <w:spacing w:line="276" w:lineRule="auto"/>
        <w:ind w:right="-131"/>
        <w:rPr>
          <w:rFonts w:asciiTheme="minorHAnsi" w:hAnsiTheme="minorHAnsi" w:cstheme="minorHAnsi"/>
          <w:sz w:val="24"/>
          <w:szCs w:val="28"/>
          <w:lang w:eastAsia="x-none"/>
        </w:rPr>
      </w:pPr>
    </w:p>
    <w:p w14:paraId="55EDB8EF" w14:textId="32454D5F" w:rsidR="00311FA6" w:rsidRPr="009977FC" w:rsidRDefault="0096505A" w:rsidP="0096505A">
      <w:pPr>
        <w:pStyle w:val="BodyText"/>
        <w:spacing w:after="0" w:line="276" w:lineRule="auto"/>
        <w:rPr>
          <w:rFonts w:asciiTheme="minorHAnsi" w:hAnsiTheme="minorHAnsi" w:cstheme="minorHAnsi"/>
          <w:sz w:val="24"/>
          <w:szCs w:val="28"/>
        </w:rPr>
      </w:pPr>
      <w:r>
        <w:rPr>
          <w:rFonts w:asciiTheme="minorHAnsi" w:hAnsiTheme="minorHAnsi"/>
          <w:sz w:val="24"/>
          <w:szCs w:val="28"/>
        </w:rPr>
        <w:t>Aucun sondage n</w:t>
      </w:r>
      <w:r w:rsidR="00863EDF">
        <w:rPr>
          <w:rFonts w:asciiTheme="minorHAnsi" w:hAnsiTheme="minorHAnsi"/>
          <w:sz w:val="24"/>
          <w:szCs w:val="28"/>
        </w:rPr>
        <w:t>’</w:t>
      </w:r>
      <w:r>
        <w:rPr>
          <w:rFonts w:asciiTheme="minorHAnsi" w:hAnsiTheme="minorHAnsi"/>
          <w:sz w:val="24"/>
          <w:szCs w:val="28"/>
        </w:rPr>
        <w:t>est à l</w:t>
      </w:r>
      <w:r w:rsidR="00863EDF">
        <w:rPr>
          <w:rFonts w:asciiTheme="minorHAnsi" w:hAnsiTheme="minorHAnsi"/>
          <w:sz w:val="24"/>
          <w:szCs w:val="28"/>
        </w:rPr>
        <w:t>’</w:t>
      </w:r>
      <w:r>
        <w:rPr>
          <w:rFonts w:asciiTheme="minorHAnsi" w:hAnsiTheme="minorHAnsi"/>
          <w:sz w:val="24"/>
          <w:szCs w:val="28"/>
        </w:rPr>
        <w:t>abri des biais et des erreurs. Quand un sondage est mené auprès d</w:t>
      </w:r>
      <w:r w:rsidR="00863EDF">
        <w:rPr>
          <w:rFonts w:asciiTheme="minorHAnsi" w:hAnsiTheme="minorHAnsi"/>
          <w:sz w:val="24"/>
          <w:szCs w:val="28"/>
        </w:rPr>
        <w:t>’</w:t>
      </w:r>
      <w:r>
        <w:rPr>
          <w:rFonts w:asciiTheme="minorHAnsi" w:hAnsiTheme="minorHAnsi"/>
          <w:sz w:val="24"/>
          <w:szCs w:val="28"/>
        </w:rPr>
        <w:t>un échantillon de la population, on compte deux catégories globales de biais ou d</w:t>
      </w:r>
      <w:r w:rsidR="00863EDF">
        <w:rPr>
          <w:rFonts w:asciiTheme="minorHAnsi" w:hAnsiTheme="minorHAnsi"/>
          <w:sz w:val="24"/>
          <w:szCs w:val="28"/>
        </w:rPr>
        <w:t>’</w:t>
      </w:r>
      <w:r>
        <w:rPr>
          <w:rFonts w:asciiTheme="minorHAnsi" w:hAnsiTheme="minorHAnsi"/>
          <w:sz w:val="24"/>
          <w:szCs w:val="28"/>
        </w:rPr>
        <w:t>erreurs possibles : les erreurs d</w:t>
      </w:r>
      <w:r w:rsidR="00863EDF">
        <w:rPr>
          <w:rFonts w:asciiTheme="minorHAnsi" w:hAnsiTheme="minorHAnsi"/>
          <w:sz w:val="24"/>
          <w:szCs w:val="28"/>
        </w:rPr>
        <w:t>’</w:t>
      </w:r>
      <w:r>
        <w:rPr>
          <w:rFonts w:asciiTheme="minorHAnsi" w:hAnsiTheme="minorHAnsi"/>
          <w:sz w:val="24"/>
          <w:szCs w:val="28"/>
        </w:rPr>
        <w:t>échantillonnage, qui sont quantifiables, et les erreurs non dues à l</w:t>
      </w:r>
      <w:r w:rsidR="00863EDF">
        <w:rPr>
          <w:rFonts w:asciiTheme="minorHAnsi" w:hAnsiTheme="minorHAnsi"/>
          <w:sz w:val="24"/>
          <w:szCs w:val="28"/>
        </w:rPr>
        <w:t>’</w:t>
      </w:r>
      <w:r>
        <w:rPr>
          <w:rFonts w:asciiTheme="minorHAnsi" w:hAnsiTheme="minorHAnsi"/>
          <w:sz w:val="24"/>
          <w:szCs w:val="28"/>
        </w:rPr>
        <w:t>échantillonnage, qui ne le sont pas. Les erreurs d</w:t>
      </w:r>
      <w:r w:rsidR="00863EDF">
        <w:rPr>
          <w:rFonts w:asciiTheme="minorHAnsi" w:hAnsiTheme="minorHAnsi"/>
          <w:sz w:val="24"/>
          <w:szCs w:val="28"/>
        </w:rPr>
        <w:t>’</w:t>
      </w:r>
      <w:r>
        <w:rPr>
          <w:rFonts w:asciiTheme="minorHAnsi" w:hAnsiTheme="minorHAnsi"/>
          <w:sz w:val="24"/>
          <w:szCs w:val="28"/>
        </w:rPr>
        <w:t>échantillonnage s</w:t>
      </w:r>
      <w:r w:rsidR="00863EDF">
        <w:rPr>
          <w:rFonts w:asciiTheme="minorHAnsi" w:hAnsiTheme="minorHAnsi"/>
          <w:sz w:val="24"/>
          <w:szCs w:val="28"/>
        </w:rPr>
        <w:t>’</w:t>
      </w:r>
      <w:r>
        <w:rPr>
          <w:rFonts w:asciiTheme="minorHAnsi" w:hAnsiTheme="minorHAnsi"/>
          <w:sz w:val="24"/>
          <w:szCs w:val="28"/>
        </w:rPr>
        <w:t>attribuent forcément au fait que les sondages ne sont menés qu</w:t>
      </w:r>
      <w:r w:rsidR="00863EDF">
        <w:rPr>
          <w:rFonts w:asciiTheme="minorHAnsi" w:hAnsiTheme="minorHAnsi"/>
          <w:sz w:val="24"/>
          <w:szCs w:val="28"/>
        </w:rPr>
        <w:t>’</w:t>
      </w:r>
      <w:r>
        <w:rPr>
          <w:rFonts w:asciiTheme="minorHAnsi" w:hAnsiTheme="minorHAnsi"/>
          <w:sz w:val="24"/>
          <w:szCs w:val="28"/>
        </w:rPr>
        <w:t>auprès d</w:t>
      </w:r>
      <w:r w:rsidR="00863EDF">
        <w:rPr>
          <w:rFonts w:asciiTheme="minorHAnsi" w:hAnsiTheme="minorHAnsi"/>
          <w:sz w:val="24"/>
          <w:szCs w:val="28"/>
        </w:rPr>
        <w:t>’</w:t>
      </w:r>
      <w:r>
        <w:rPr>
          <w:rFonts w:asciiTheme="minorHAnsi" w:hAnsiTheme="minorHAnsi"/>
          <w:sz w:val="24"/>
          <w:szCs w:val="28"/>
        </w:rPr>
        <w:t>un sous-ensemble de la population cible. Ainsi, il est possible que les résultats de sondage tirés de ce groupe de répondants ne soient pas représentatifs de l</w:t>
      </w:r>
      <w:r w:rsidR="00863EDF">
        <w:rPr>
          <w:rFonts w:asciiTheme="minorHAnsi" w:hAnsiTheme="minorHAnsi"/>
          <w:sz w:val="24"/>
          <w:szCs w:val="28"/>
        </w:rPr>
        <w:t>’</w:t>
      </w:r>
      <w:r>
        <w:rPr>
          <w:rFonts w:asciiTheme="minorHAnsi" w:hAnsiTheme="minorHAnsi"/>
          <w:sz w:val="24"/>
          <w:szCs w:val="28"/>
        </w:rPr>
        <w:t xml:space="preserve">ensemble de la population. </w:t>
      </w:r>
    </w:p>
    <w:p w14:paraId="1BDC8FA1" w14:textId="77777777" w:rsidR="00311FA6" w:rsidRPr="009977FC" w:rsidRDefault="00311FA6" w:rsidP="0096505A">
      <w:pPr>
        <w:pStyle w:val="BodyText"/>
        <w:spacing w:after="0" w:line="276" w:lineRule="auto"/>
        <w:rPr>
          <w:rFonts w:asciiTheme="minorHAnsi" w:hAnsiTheme="minorHAnsi" w:cstheme="minorHAnsi"/>
          <w:sz w:val="24"/>
          <w:szCs w:val="28"/>
        </w:rPr>
      </w:pPr>
    </w:p>
    <w:p w14:paraId="56DA356F" w14:textId="58431A97" w:rsidR="00311FA6" w:rsidRPr="009977FC" w:rsidRDefault="0096505A" w:rsidP="0096505A">
      <w:pPr>
        <w:pStyle w:val="BodyText"/>
        <w:spacing w:after="0" w:line="276" w:lineRule="auto"/>
        <w:rPr>
          <w:rFonts w:asciiTheme="minorHAnsi" w:hAnsiTheme="minorHAnsi" w:cstheme="minorHAnsi"/>
          <w:u w:val="single"/>
        </w:rPr>
      </w:pPr>
      <w:r>
        <w:rPr>
          <w:rFonts w:asciiTheme="minorHAnsi" w:hAnsiTheme="minorHAnsi"/>
          <w:sz w:val="24"/>
          <w:szCs w:val="28"/>
        </w:rPr>
        <w:t>Par comparaison, les erreurs non dues à l</w:t>
      </w:r>
      <w:r w:rsidR="00863EDF">
        <w:rPr>
          <w:rFonts w:asciiTheme="minorHAnsi" w:hAnsiTheme="minorHAnsi"/>
          <w:sz w:val="24"/>
          <w:szCs w:val="28"/>
        </w:rPr>
        <w:t>’</w:t>
      </w:r>
      <w:r>
        <w:rPr>
          <w:rFonts w:asciiTheme="minorHAnsi" w:hAnsiTheme="minorHAnsi"/>
          <w:sz w:val="24"/>
          <w:szCs w:val="28"/>
        </w:rPr>
        <w:t>échantillonnage englobent plusieurs types différents d</w:t>
      </w:r>
      <w:r w:rsidR="00863EDF">
        <w:rPr>
          <w:rFonts w:asciiTheme="minorHAnsi" w:hAnsiTheme="minorHAnsi"/>
          <w:sz w:val="24"/>
          <w:szCs w:val="28"/>
        </w:rPr>
        <w:t>’</w:t>
      </w:r>
      <w:r>
        <w:rPr>
          <w:rFonts w:asciiTheme="minorHAnsi" w:hAnsiTheme="minorHAnsi"/>
          <w:sz w:val="24"/>
          <w:szCs w:val="28"/>
        </w:rPr>
        <w:t>erreurs, par exemple au niveau de la couverture, des mesures et du traitement, et en cas de non-réponse. Aucune erreur d</w:t>
      </w:r>
      <w:r w:rsidR="00863EDF">
        <w:rPr>
          <w:rFonts w:asciiTheme="minorHAnsi" w:hAnsiTheme="minorHAnsi"/>
          <w:sz w:val="24"/>
          <w:szCs w:val="28"/>
        </w:rPr>
        <w:t>’</w:t>
      </w:r>
      <w:r>
        <w:rPr>
          <w:rFonts w:asciiTheme="minorHAnsi" w:hAnsiTheme="minorHAnsi"/>
          <w:sz w:val="24"/>
          <w:szCs w:val="28"/>
        </w:rPr>
        <w:t>échantillonnage ne peut toucher l</w:t>
      </w:r>
      <w:r w:rsidR="00863EDF">
        <w:rPr>
          <w:rFonts w:asciiTheme="minorHAnsi" w:hAnsiTheme="minorHAnsi"/>
          <w:sz w:val="24"/>
          <w:szCs w:val="28"/>
        </w:rPr>
        <w:t>’</w:t>
      </w:r>
      <w:r>
        <w:rPr>
          <w:rFonts w:asciiTheme="minorHAnsi" w:hAnsiTheme="minorHAnsi"/>
          <w:sz w:val="24"/>
          <w:szCs w:val="28"/>
        </w:rPr>
        <w:t>étude dont il est ici question, car les répondants provenaient d</w:t>
      </w:r>
      <w:r w:rsidR="00863EDF">
        <w:rPr>
          <w:rFonts w:asciiTheme="minorHAnsi" w:hAnsiTheme="minorHAnsi"/>
          <w:sz w:val="24"/>
          <w:szCs w:val="28"/>
        </w:rPr>
        <w:t>’</w:t>
      </w:r>
      <w:r>
        <w:rPr>
          <w:rFonts w:asciiTheme="minorHAnsi" w:hAnsiTheme="minorHAnsi"/>
          <w:sz w:val="24"/>
          <w:szCs w:val="28"/>
        </w:rPr>
        <w:t>un panel en ligne de la population générale, une source d</w:t>
      </w:r>
      <w:r w:rsidR="00863EDF">
        <w:rPr>
          <w:rFonts w:asciiTheme="minorHAnsi" w:hAnsiTheme="minorHAnsi"/>
          <w:sz w:val="24"/>
          <w:szCs w:val="28"/>
        </w:rPr>
        <w:t>’</w:t>
      </w:r>
      <w:r>
        <w:rPr>
          <w:rFonts w:asciiTheme="minorHAnsi" w:hAnsiTheme="minorHAnsi"/>
          <w:sz w:val="24"/>
          <w:szCs w:val="28"/>
        </w:rPr>
        <w:t>échantillonnage non probabiliste. Cela dit, plusieurs mesures ont été prises lors de la collecte de données dans le but de s</w:t>
      </w:r>
      <w:r w:rsidR="00863EDF">
        <w:rPr>
          <w:rFonts w:asciiTheme="minorHAnsi" w:hAnsiTheme="minorHAnsi"/>
          <w:sz w:val="24"/>
          <w:szCs w:val="28"/>
        </w:rPr>
        <w:t>’</w:t>
      </w:r>
      <w:r>
        <w:rPr>
          <w:rFonts w:asciiTheme="minorHAnsi" w:hAnsiTheme="minorHAnsi"/>
          <w:sz w:val="24"/>
          <w:szCs w:val="28"/>
        </w:rPr>
        <w:t>assurer qu</w:t>
      </w:r>
      <w:r w:rsidR="00863EDF">
        <w:rPr>
          <w:rFonts w:asciiTheme="minorHAnsi" w:hAnsiTheme="minorHAnsi"/>
          <w:sz w:val="24"/>
          <w:szCs w:val="28"/>
        </w:rPr>
        <w:t>’</w:t>
      </w:r>
      <w:r>
        <w:rPr>
          <w:rFonts w:asciiTheme="minorHAnsi" w:hAnsiTheme="minorHAnsi"/>
          <w:sz w:val="24"/>
          <w:szCs w:val="28"/>
        </w:rPr>
        <w:t>un nombre suffisant de sondages étaient obtenus par les groupes démographiques considérés comme centraux dans les études quantitatives, définis par le sexe, l</w:t>
      </w:r>
      <w:r w:rsidR="00863EDF">
        <w:rPr>
          <w:rFonts w:asciiTheme="minorHAnsi" w:hAnsiTheme="minorHAnsi"/>
          <w:sz w:val="24"/>
          <w:szCs w:val="28"/>
        </w:rPr>
        <w:t>’</w:t>
      </w:r>
      <w:r>
        <w:rPr>
          <w:rFonts w:asciiTheme="minorHAnsi" w:hAnsiTheme="minorHAnsi"/>
          <w:sz w:val="24"/>
          <w:szCs w:val="28"/>
        </w:rPr>
        <w:t>âge, la région/province et le statut d</w:t>
      </w:r>
      <w:r w:rsidR="00863EDF">
        <w:rPr>
          <w:rFonts w:asciiTheme="minorHAnsi" w:hAnsiTheme="minorHAnsi"/>
          <w:sz w:val="24"/>
          <w:szCs w:val="28"/>
        </w:rPr>
        <w:t>’</w:t>
      </w:r>
      <w:r>
        <w:rPr>
          <w:rFonts w:asciiTheme="minorHAnsi" w:hAnsiTheme="minorHAnsi"/>
          <w:sz w:val="24"/>
          <w:szCs w:val="28"/>
        </w:rPr>
        <w:t>immigrant. L</w:t>
      </w:r>
      <w:r w:rsidR="00863EDF">
        <w:rPr>
          <w:rFonts w:asciiTheme="minorHAnsi" w:hAnsiTheme="minorHAnsi"/>
          <w:sz w:val="24"/>
          <w:szCs w:val="28"/>
        </w:rPr>
        <w:t>’</w:t>
      </w:r>
      <w:r>
        <w:rPr>
          <w:rFonts w:asciiTheme="minorHAnsi" w:hAnsiTheme="minorHAnsi"/>
          <w:sz w:val="24"/>
          <w:szCs w:val="28"/>
        </w:rPr>
        <w:t>ensemble final de données de chacun des sondages a été pondéré de manière à ce qu</w:t>
      </w:r>
      <w:r w:rsidR="00863EDF">
        <w:rPr>
          <w:rFonts w:asciiTheme="minorHAnsi" w:hAnsiTheme="minorHAnsi"/>
          <w:sz w:val="24"/>
          <w:szCs w:val="28"/>
        </w:rPr>
        <w:t>’</w:t>
      </w:r>
      <w:r>
        <w:rPr>
          <w:rFonts w:asciiTheme="minorHAnsi" w:hAnsiTheme="minorHAnsi"/>
          <w:sz w:val="24"/>
          <w:szCs w:val="28"/>
        </w:rPr>
        <w:t xml:space="preserve">il se rapproche de la distribution de ces dimensions estimées par le recensement 2016 de Statistique Canada. Les mesures de pondération mises en œuvre étaient plutôt mineures en général, puisque les données recueillies étaient déjà proches de la distribution réelle des adultes du Canada pour ces dimensions démographiques. </w:t>
      </w:r>
    </w:p>
    <w:p w14:paraId="0C40CC27" w14:textId="77777777" w:rsidR="00311FA6" w:rsidRPr="009977FC" w:rsidRDefault="00311FA6" w:rsidP="0096505A">
      <w:pPr>
        <w:spacing w:line="276" w:lineRule="auto"/>
        <w:rPr>
          <w:rFonts w:asciiTheme="minorHAnsi" w:hAnsiTheme="minorHAnsi" w:cstheme="minorHAnsi"/>
        </w:rPr>
      </w:pPr>
    </w:p>
    <w:p w14:paraId="0E17D519" w14:textId="77777777" w:rsidR="0090343C" w:rsidRDefault="0090343C">
      <w:pPr>
        <w:rPr>
          <w:rFonts w:asciiTheme="minorHAnsi" w:hAnsiTheme="minorHAnsi"/>
          <w:sz w:val="24"/>
          <w:szCs w:val="28"/>
        </w:rPr>
      </w:pPr>
      <w:r>
        <w:rPr>
          <w:rFonts w:asciiTheme="minorHAnsi" w:hAnsiTheme="minorHAnsi"/>
          <w:sz w:val="24"/>
          <w:szCs w:val="28"/>
        </w:rPr>
        <w:br w:type="page"/>
      </w:r>
    </w:p>
    <w:p w14:paraId="5BA9CEFB" w14:textId="1778BDD8" w:rsidR="00311FA6" w:rsidRPr="009977FC" w:rsidRDefault="0096505A" w:rsidP="0096505A">
      <w:pPr>
        <w:spacing w:line="276" w:lineRule="auto"/>
        <w:rPr>
          <w:b/>
          <w:color w:val="000080"/>
          <w:sz w:val="20"/>
          <w:szCs w:val="20"/>
        </w:rPr>
      </w:pPr>
      <w:r>
        <w:rPr>
          <w:rFonts w:asciiTheme="minorHAnsi" w:hAnsiTheme="minorHAnsi"/>
          <w:sz w:val="24"/>
          <w:szCs w:val="28"/>
        </w:rPr>
        <w:t>Pour ce qui est des erreurs non dues à l</w:t>
      </w:r>
      <w:r w:rsidR="00863EDF">
        <w:rPr>
          <w:rFonts w:asciiTheme="minorHAnsi" w:hAnsiTheme="minorHAnsi"/>
          <w:sz w:val="24"/>
          <w:szCs w:val="28"/>
        </w:rPr>
        <w:t>’</w:t>
      </w:r>
      <w:r>
        <w:rPr>
          <w:rFonts w:asciiTheme="minorHAnsi" w:hAnsiTheme="minorHAnsi"/>
          <w:sz w:val="24"/>
          <w:szCs w:val="28"/>
        </w:rPr>
        <w:t>échantillonnage, plusieurs mesures ont été prises afin de réduire le biais possible attribuable à ces sources. Tous les sondages ont eu recours à une technologie d</w:t>
      </w:r>
      <w:r w:rsidR="00863EDF">
        <w:rPr>
          <w:rFonts w:asciiTheme="minorHAnsi" w:hAnsiTheme="minorHAnsi"/>
          <w:sz w:val="24"/>
          <w:szCs w:val="28"/>
        </w:rPr>
        <w:t>’</w:t>
      </w:r>
      <w:r>
        <w:rPr>
          <w:rFonts w:asciiTheme="minorHAnsi" w:hAnsiTheme="minorHAnsi"/>
          <w:sz w:val="24"/>
          <w:szCs w:val="28"/>
        </w:rPr>
        <w:t>entretien en ligne pour veiller au bon enchaînement des questions ainsi que pour réduire les erreurs d</w:t>
      </w:r>
      <w:r w:rsidR="00863EDF">
        <w:rPr>
          <w:rFonts w:asciiTheme="minorHAnsi" w:hAnsiTheme="minorHAnsi"/>
          <w:sz w:val="24"/>
          <w:szCs w:val="28"/>
        </w:rPr>
        <w:t>’</w:t>
      </w:r>
      <w:r>
        <w:rPr>
          <w:rFonts w:asciiTheme="minorHAnsi" w:hAnsiTheme="minorHAnsi"/>
          <w:sz w:val="24"/>
          <w:szCs w:val="28"/>
        </w:rPr>
        <w:t>entrée et de captures des données. Les instruments de sondage en français et en anglais de chaque campagne ont fait l</w:t>
      </w:r>
      <w:r w:rsidR="00863EDF">
        <w:rPr>
          <w:rFonts w:asciiTheme="minorHAnsi" w:hAnsiTheme="minorHAnsi"/>
          <w:sz w:val="24"/>
          <w:szCs w:val="28"/>
        </w:rPr>
        <w:t>’</w:t>
      </w:r>
      <w:r>
        <w:rPr>
          <w:rFonts w:asciiTheme="minorHAnsi" w:hAnsiTheme="minorHAnsi"/>
          <w:sz w:val="24"/>
          <w:szCs w:val="28"/>
        </w:rPr>
        <w:t>objet d</w:t>
      </w:r>
      <w:r w:rsidR="00863EDF">
        <w:rPr>
          <w:rFonts w:asciiTheme="minorHAnsi" w:hAnsiTheme="minorHAnsi"/>
          <w:sz w:val="24"/>
          <w:szCs w:val="28"/>
        </w:rPr>
        <w:t>’</w:t>
      </w:r>
      <w:r>
        <w:rPr>
          <w:rFonts w:asciiTheme="minorHAnsi" w:hAnsiTheme="minorHAnsi"/>
          <w:sz w:val="24"/>
          <w:szCs w:val="28"/>
        </w:rPr>
        <w:t>un test préalable auprès d</w:t>
      </w:r>
      <w:r w:rsidR="00863EDF">
        <w:rPr>
          <w:rFonts w:asciiTheme="minorHAnsi" w:hAnsiTheme="minorHAnsi"/>
          <w:sz w:val="24"/>
          <w:szCs w:val="28"/>
        </w:rPr>
        <w:t>’</w:t>
      </w:r>
      <w:r>
        <w:rPr>
          <w:rFonts w:asciiTheme="minorHAnsi" w:hAnsiTheme="minorHAnsi"/>
          <w:sz w:val="24"/>
          <w:szCs w:val="28"/>
        </w:rPr>
        <w:t>un petit nombre de répondants, ce qui a permis de s</w:t>
      </w:r>
      <w:r w:rsidR="00863EDF">
        <w:rPr>
          <w:rFonts w:asciiTheme="minorHAnsi" w:hAnsiTheme="minorHAnsi"/>
          <w:sz w:val="24"/>
          <w:szCs w:val="28"/>
        </w:rPr>
        <w:t>’</w:t>
      </w:r>
      <w:r>
        <w:rPr>
          <w:rFonts w:asciiTheme="minorHAnsi" w:hAnsiTheme="minorHAnsi"/>
          <w:sz w:val="24"/>
          <w:szCs w:val="28"/>
        </w:rPr>
        <w:t>assurer que ceux-ci le comprenaient bien et que les données étaient adéquatement recueillies. Pour ce qui est de la couverture, les sondages ont été menés auprès de membres d</w:t>
      </w:r>
      <w:r w:rsidR="00863EDF">
        <w:rPr>
          <w:rFonts w:asciiTheme="minorHAnsi" w:hAnsiTheme="minorHAnsi"/>
          <w:sz w:val="24"/>
          <w:szCs w:val="28"/>
        </w:rPr>
        <w:t>’</w:t>
      </w:r>
      <w:r>
        <w:rPr>
          <w:rFonts w:asciiTheme="minorHAnsi" w:hAnsiTheme="minorHAnsi"/>
          <w:sz w:val="24"/>
          <w:szCs w:val="28"/>
        </w:rPr>
        <w:t>un panel en ligne composé d</w:t>
      </w:r>
      <w:r w:rsidR="00863EDF">
        <w:rPr>
          <w:rFonts w:asciiTheme="minorHAnsi" w:hAnsiTheme="minorHAnsi"/>
          <w:sz w:val="24"/>
          <w:szCs w:val="28"/>
        </w:rPr>
        <w:t>’</w:t>
      </w:r>
      <w:r>
        <w:rPr>
          <w:rFonts w:asciiTheme="minorHAnsi" w:hAnsiTheme="minorHAnsi"/>
          <w:sz w:val="24"/>
          <w:szCs w:val="28"/>
        </w:rPr>
        <w:t>adultes canadiens du grand public âgés de 18 ans et plus, selon une approche d</w:t>
      </w:r>
      <w:r w:rsidR="00863EDF">
        <w:rPr>
          <w:rFonts w:asciiTheme="minorHAnsi" w:hAnsiTheme="minorHAnsi"/>
          <w:sz w:val="24"/>
          <w:szCs w:val="28"/>
        </w:rPr>
        <w:t>’</w:t>
      </w:r>
      <w:r>
        <w:rPr>
          <w:rFonts w:asciiTheme="minorHAnsi" w:hAnsiTheme="minorHAnsi"/>
          <w:sz w:val="24"/>
          <w:szCs w:val="28"/>
        </w:rPr>
        <w:t>échantillonnage aléatoire au sein d</w:t>
      </w:r>
      <w:r w:rsidR="00863EDF">
        <w:rPr>
          <w:rFonts w:asciiTheme="minorHAnsi" w:hAnsiTheme="minorHAnsi"/>
          <w:sz w:val="24"/>
          <w:szCs w:val="28"/>
        </w:rPr>
        <w:t>’</w:t>
      </w:r>
      <w:r>
        <w:rPr>
          <w:rFonts w:asciiTheme="minorHAnsi" w:hAnsiTheme="minorHAnsi"/>
          <w:sz w:val="24"/>
          <w:szCs w:val="28"/>
        </w:rPr>
        <w:t>un panel en ligne pour le public cible de la population générale disponible sur le marché.</w:t>
      </w:r>
      <w:r>
        <w:rPr>
          <w:rFonts w:asciiTheme="minorHAnsi" w:hAnsiTheme="minorHAnsi"/>
          <w:sz w:val="24"/>
          <w:szCs w:val="28"/>
        </w:rPr>
        <w:tab/>
      </w:r>
    </w:p>
    <w:p w14:paraId="1C7665FA" w14:textId="77777777" w:rsidR="00311FA6" w:rsidRPr="009977FC" w:rsidRDefault="00311FA6" w:rsidP="0096505A">
      <w:pPr>
        <w:spacing w:line="276" w:lineRule="auto"/>
        <w:rPr>
          <w:rFonts w:asciiTheme="minorHAnsi" w:hAnsiTheme="minorHAnsi" w:cstheme="minorHAnsi"/>
          <w:sz w:val="24"/>
          <w:szCs w:val="28"/>
        </w:rPr>
      </w:pPr>
    </w:p>
    <w:p w14:paraId="0532E5CA" w14:textId="77777777" w:rsidR="00311FA6" w:rsidRPr="009977FC" w:rsidRDefault="00311FA6">
      <w:pPr>
        <w:rPr>
          <w:b/>
          <w:color w:val="000080"/>
          <w:sz w:val="20"/>
          <w:szCs w:val="20"/>
        </w:rPr>
      </w:pPr>
    </w:p>
    <w:p w14:paraId="3E06B62F" w14:textId="6D2DED0A" w:rsidR="0090343C" w:rsidRDefault="0090343C">
      <w:pPr>
        <w:rPr>
          <w:b/>
          <w:color w:val="000080"/>
          <w:sz w:val="20"/>
          <w:szCs w:val="20"/>
        </w:rPr>
      </w:pPr>
    </w:p>
    <w:sectPr w:rsidR="0090343C" w:rsidSect="0002432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F2A6" w14:textId="77777777" w:rsidR="0004796F" w:rsidRDefault="0004796F" w:rsidP="009F69E5">
      <w:r>
        <w:separator/>
      </w:r>
    </w:p>
  </w:endnote>
  <w:endnote w:type="continuationSeparator" w:id="0">
    <w:p w14:paraId="4261C9AF" w14:textId="77777777" w:rsidR="0004796F" w:rsidRDefault="0004796F"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E217" w14:textId="77777777" w:rsidR="0036295D" w:rsidRDefault="0036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6726" w14:textId="77777777" w:rsidR="0036295D" w:rsidRDefault="00362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CA5E" w14:textId="77777777" w:rsidR="0036295D" w:rsidRDefault="0036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CDA1" w14:textId="77777777" w:rsidR="0004796F" w:rsidRDefault="0004796F" w:rsidP="009F69E5">
      <w:r>
        <w:separator/>
      </w:r>
    </w:p>
  </w:footnote>
  <w:footnote w:type="continuationSeparator" w:id="0">
    <w:p w14:paraId="14B74B6C" w14:textId="77777777" w:rsidR="0004796F" w:rsidRDefault="0004796F" w:rsidP="009F69E5">
      <w:r>
        <w:continuationSeparator/>
      </w:r>
    </w:p>
  </w:footnote>
  <w:footnote w:id="1">
    <w:p w14:paraId="5A5C0313" w14:textId="77777777" w:rsidR="0004796F" w:rsidRPr="00F5361E" w:rsidRDefault="0004796F" w:rsidP="0096505A">
      <w:pPr>
        <w:pStyle w:val="FootnoteText"/>
        <w:ind w:left="142" w:hanging="142"/>
      </w:pPr>
      <w:r>
        <w:rPr>
          <w:rStyle w:val="FootnoteReference"/>
        </w:rPr>
        <w:footnoteRef/>
      </w:r>
      <w:r>
        <w:t xml:space="preserve">Centre antifraude du Canada, statistiques sur la fraude, site Web : </w:t>
      </w:r>
      <w:hyperlink r:id="rId1" w:history="1">
        <w:r>
          <w:rPr>
            <w:rStyle w:val="Hyperlink"/>
          </w:rPr>
          <w:t>https://www.antifraudcentre-centreantifraude.ca/index-fra.htm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CC0E" w14:textId="77777777" w:rsidR="0004796F" w:rsidRDefault="0004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BEF1" w14:textId="18FB977B" w:rsidR="0036295D" w:rsidRDefault="001B19DB" w:rsidP="001B19DB">
    <w:pPr>
      <w:pStyle w:val="Header"/>
      <w:tabs>
        <w:tab w:val="clear" w:pos="4680"/>
        <w:tab w:val="left" w:pos="1134"/>
      </w:tabs>
      <w:jc w:val="right"/>
      <w:rPr>
        <w:color w:val="000000"/>
        <w:sz w:val="17"/>
      </w:rPr>
    </w:pPr>
    <w:bookmarkStart w:id="14" w:name="TITUS3HeaderPrimary"/>
    <w:bookmarkStart w:id="15" w:name="TITUS2HeaderPrimary"/>
    <w:bookmarkStart w:id="16" w:name="TITUS1HeaderPrimary"/>
    <w:r>
      <w:rPr>
        <w:color w:val="000000"/>
        <w:sz w:val="17"/>
      </w:rPr>
      <w:t> </w:t>
    </w:r>
    <w:bookmarkEnd w:id="16"/>
  </w:p>
  <w:p w14:paraId="32EBBEA0" w14:textId="705BE309" w:rsidR="0004796F" w:rsidRDefault="003E7FAE" w:rsidP="003E7FAE">
    <w:pPr>
      <w:pStyle w:val="Header"/>
      <w:tabs>
        <w:tab w:val="clear" w:pos="4680"/>
        <w:tab w:val="left" w:pos="1134"/>
      </w:tabs>
      <w:jc w:val="right"/>
      <w:rPr>
        <w:color w:val="000000"/>
        <w:sz w:val="17"/>
      </w:rPr>
    </w:pPr>
    <w:r>
      <w:rPr>
        <w:color w:val="000000"/>
        <w:sz w:val="17"/>
      </w:rPr>
      <w:t> </w:t>
    </w:r>
    <w:bookmarkEnd w:id="15"/>
  </w:p>
  <w:p w14:paraId="20C7AB67" w14:textId="31C37852" w:rsidR="0004796F" w:rsidRDefault="0004796F" w:rsidP="00062849">
    <w:pPr>
      <w:pStyle w:val="Header"/>
      <w:tabs>
        <w:tab w:val="clear" w:pos="4680"/>
        <w:tab w:val="left" w:pos="1134"/>
      </w:tabs>
      <w:jc w:val="right"/>
    </w:pPr>
    <w:r>
      <w:rPr>
        <w:color w:val="000000"/>
        <w:sz w:val="17"/>
      </w:rPr>
      <w:t> </w:t>
    </w:r>
    <w:bookmarkEnd w:id="14"/>
  </w:p>
  <w:p w14:paraId="2707475E" w14:textId="77777777" w:rsidR="0004796F" w:rsidRPr="003B1D26" w:rsidRDefault="0004796F" w:rsidP="00690D09">
    <w:pPr>
      <w:pStyle w:val="Header"/>
      <w:tabs>
        <w:tab w:val="clear" w:pos="4680"/>
        <w:tab w:val="left" w:pos="1134"/>
      </w:tabs>
      <w:rPr>
        <w:rFonts w:cs="Calibri Light"/>
        <w:sz w:val="16"/>
        <w:szCs w:val="16"/>
      </w:rPr>
    </w:pPr>
    <w:r>
      <w:rPr>
        <w:noProof/>
      </w:rPr>
      <w:drawing>
        <wp:anchor distT="0" distB="0" distL="114300" distR="114300" simplePos="0" relativeHeight="251687936" behindDoc="0" locked="0" layoutInCell="1" allowOverlap="1" wp14:anchorId="73C1A7AA" wp14:editId="674A160C">
          <wp:simplePos x="0" y="0"/>
          <wp:positionH relativeFrom="column">
            <wp:posOffset>-78902</wp:posOffset>
          </wp:positionH>
          <wp:positionV relativeFrom="paragraph">
            <wp:posOffset>-189230</wp:posOffset>
          </wp:positionV>
          <wp:extent cx="525600" cy="525600"/>
          <wp:effectExtent l="0" t="0" r="825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tab/>
    </w:r>
  </w:p>
  <w:p w14:paraId="5D49966C" w14:textId="5AC354C5" w:rsidR="0004796F" w:rsidRPr="0045136B" w:rsidRDefault="0004796F" w:rsidP="003B6CBF">
    <w:pPr>
      <w:pStyle w:val="Header"/>
      <w:tabs>
        <w:tab w:val="clear" w:pos="4680"/>
        <w:tab w:val="clear" w:pos="9360"/>
        <w:tab w:val="left" w:pos="851"/>
      </w:tabs>
      <w:ind w:right="-138"/>
      <w:rPr>
        <w:rFonts w:cs="Calibri Light"/>
        <w:b/>
        <w:iCs/>
        <w:sz w:val="24"/>
      </w:rPr>
    </w:pPr>
    <w:r>
      <w:t xml:space="preserve">               </w:t>
    </w:r>
    <w:r>
      <w:rPr>
        <w:rFonts w:ascii="Calibri" w:hAnsi="Calibri"/>
        <w:b/>
        <w:iCs/>
        <w:sz w:val="24"/>
      </w:rPr>
      <w:t>Campagne publicitaire de l</w:t>
    </w:r>
    <w:r w:rsidR="00863EDF">
      <w:rPr>
        <w:rFonts w:ascii="Calibri" w:hAnsi="Calibri"/>
        <w:b/>
        <w:iCs/>
        <w:sz w:val="24"/>
      </w:rPr>
      <w:t>’</w:t>
    </w:r>
    <w:r>
      <w:rPr>
        <w:rFonts w:ascii="Calibri" w:hAnsi="Calibri"/>
        <w:b/>
        <w:iCs/>
        <w:sz w:val="24"/>
      </w:rPr>
      <w:t>Agence de 2021-2022 – À bas l</w:t>
    </w:r>
    <w:r w:rsidR="00863EDF">
      <w:rPr>
        <w:rFonts w:ascii="Calibri" w:hAnsi="Calibri"/>
        <w:b/>
        <w:iCs/>
        <w:sz w:val="24"/>
      </w:rPr>
      <w:t>’</w:t>
    </w:r>
    <w:r>
      <w:rPr>
        <w:rFonts w:ascii="Calibri" w:hAnsi="Calibri"/>
        <w:b/>
        <w:iCs/>
        <w:sz w:val="24"/>
      </w:rPr>
      <w:t>arnaque – OECP Rapport méthodologique</w:t>
    </w:r>
  </w:p>
  <w:p w14:paraId="6B1C8CB1" w14:textId="77777777" w:rsidR="0004796F" w:rsidRPr="008328C9" w:rsidRDefault="0004796F" w:rsidP="00690D09">
    <w:pPr>
      <w:pStyle w:val="Header"/>
      <w:pBdr>
        <w:bottom w:val="single" w:sz="4" w:space="1" w:color="auto"/>
      </w:pBdr>
      <w:tabs>
        <w:tab w:val="clear" w:pos="4680"/>
        <w:tab w:val="left" w:pos="851"/>
      </w:tabs>
      <w:rPr>
        <w:sz w:val="16"/>
        <w:szCs w:val="16"/>
      </w:rPr>
    </w:pPr>
  </w:p>
  <w:p w14:paraId="414E4BE0" w14:textId="77777777" w:rsidR="0004796F" w:rsidRPr="008328C9" w:rsidRDefault="0004796F" w:rsidP="00132EE1">
    <w:pPr>
      <w:pStyle w:val="Header"/>
      <w:tabs>
        <w:tab w:val="clear" w:pos="4680"/>
        <w:tab w:val="left" w:pos="1134"/>
      </w:tabs>
      <w:rPr>
        <w:rFonts w:cs="Calibri Light"/>
        <w:sz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8ABC" w14:textId="77777777" w:rsidR="0004796F" w:rsidRPr="003B1D26" w:rsidRDefault="0004796F" w:rsidP="00015110">
    <w:pPr>
      <w:pStyle w:val="Header"/>
      <w:tabs>
        <w:tab w:val="clear" w:pos="4680"/>
        <w:tab w:val="left" w:pos="1134"/>
      </w:tabs>
      <w:rPr>
        <w:rFonts w:cs="Calibri Light"/>
        <w:sz w:val="16"/>
        <w:szCs w:val="16"/>
      </w:rPr>
    </w:pPr>
    <w:r>
      <w:rPr>
        <w:noProof/>
      </w:rPr>
      <w:drawing>
        <wp:anchor distT="0" distB="0" distL="114300" distR="114300" simplePos="0" relativeHeight="251685888" behindDoc="0" locked="0" layoutInCell="1" allowOverlap="1" wp14:anchorId="7FC1500F" wp14:editId="36294BAE">
          <wp:simplePos x="0" y="0"/>
          <wp:positionH relativeFrom="column">
            <wp:posOffset>0</wp:posOffset>
          </wp:positionH>
          <wp:positionV relativeFrom="paragraph">
            <wp:posOffset>-48732</wp:posOffset>
          </wp:positionV>
          <wp:extent cx="334800" cy="338400"/>
          <wp:effectExtent l="0" t="0" r="825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DC811E2" w14:textId="77777777" w:rsidR="0004796F" w:rsidRPr="009D4FFF" w:rsidRDefault="0004796F" w:rsidP="00015110">
    <w:pPr>
      <w:pStyle w:val="Header"/>
      <w:tabs>
        <w:tab w:val="clear" w:pos="4680"/>
        <w:tab w:val="left" w:pos="709"/>
      </w:tabs>
      <w:rPr>
        <w:rFonts w:cs="Calibri Light"/>
        <w:szCs w:val="22"/>
      </w:rPr>
    </w:pPr>
    <w:r>
      <w:tab/>
      <w:t xml:space="preserve">Titre du rapport – Calibri Light 11 </w:t>
    </w:r>
  </w:p>
  <w:p w14:paraId="6F62DECB" w14:textId="77777777" w:rsidR="0004796F" w:rsidRDefault="0004796F" w:rsidP="00015110">
    <w:pPr>
      <w:pStyle w:val="Header"/>
      <w:pBdr>
        <w:bottom w:val="single" w:sz="4" w:space="1" w:color="auto"/>
      </w:pBdr>
      <w:tabs>
        <w:tab w:val="clear" w:pos="4680"/>
        <w:tab w:val="left" w:pos="851"/>
      </w:tabs>
      <w:rPr>
        <w:szCs w:val="22"/>
      </w:rPr>
    </w:pPr>
  </w:p>
  <w:p w14:paraId="3F0A0DD4" w14:textId="77777777" w:rsidR="0004796F" w:rsidRPr="008D653A" w:rsidRDefault="0004796F" w:rsidP="00015110">
    <w:pPr>
      <w:pStyle w:val="Header"/>
      <w:tabs>
        <w:tab w:val="clear" w:pos="4680"/>
        <w:tab w:val="left" w:pos="851"/>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E042E9"/>
    <w:multiLevelType w:val="hybridMultilevel"/>
    <w:tmpl w:val="5BB460FA"/>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2" w15:restartNumberingAfterBreak="0">
    <w:nsid w:val="068B2EE2"/>
    <w:multiLevelType w:val="hybridMultilevel"/>
    <w:tmpl w:val="F16C743A"/>
    <w:lvl w:ilvl="0" w:tplc="B0F66F12">
      <w:start w:val="1"/>
      <w:numFmt w:val="bullet"/>
      <w:lvlText w:val="o"/>
      <w:lvlJc w:val="left"/>
      <w:pPr>
        <w:ind w:left="720" w:hanging="360"/>
      </w:pPr>
      <w:rPr>
        <w:rFonts w:ascii="Courier New" w:hAnsi="Courier New" w:hint="default"/>
        <w:sz w:val="24"/>
      </w:rPr>
    </w:lvl>
    <w:lvl w:ilvl="1" w:tplc="2F0AE80A">
      <w:start w:val="1"/>
      <w:numFmt w:val="bullet"/>
      <w:lvlText w:val="o"/>
      <w:lvlJc w:val="left"/>
      <w:pPr>
        <w:ind w:left="1440" w:hanging="360"/>
      </w:pPr>
      <w:rPr>
        <w:rFonts w:ascii="Courier New" w:hAnsi="Courier New" w:hint="default"/>
        <w:sz w:val="24"/>
        <w:lang w:val="en-US"/>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4582D"/>
    <w:multiLevelType w:val="hybridMultilevel"/>
    <w:tmpl w:val="BB5E9D72"/>
    <w:lvl w:ilvl="0" w:tplc="DFF089E0">
      <w:start w:val="1"/>
      <w:numFmt w:val="bullet"/>
      <w:lvlText w:val=""/>
      <w:lvlJc w:val="left"/>
      <w:pPr>
        <w:ind w:left="1080" w:hanging="360"/>
      </w:pPr>
      <w:rPr>
        <w:rFonts w:ascii="Symbol" w:hAnsi="Symbol" w:hint="default"/>
        <w:color w:val="23B2BE"/>
      </w:rPr>
    </w:lvl>
    <w:lvl w:ilvl="1" w:tplc="741258F0">
      <w:start w:val="1"/>
      <w:numFmt w:val="bullet"/>
      <w:lvlText w:val=""/>
      <w:lvlJc w:val="left"/>
      <w:pPr>
        <w:ind w:left="1800" w:hanging="360"/>
      </w:pPr>
      <w:rPr>
        <w:rFonts w:ascii="Wingdings" w:hAnsi="Wingdings"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83424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2F602AC7"/>
    <w:multiLevelType w:val="hybridMultilevel"/>
    <w:tmpl w:val="43EAC0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2180ADD"/>
    <w:multiLevelType w:val="hybridMultilevel"/>
    <w:tmpl w:val="0AE6936E"/>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B89264A"/>
    <w:multiLevelType w:val="hybridMultilevel"/>
    <w:tmpl w:val="D19E34F4"/>
    <w:lvl w:ilvl="0" w:tplc="BF56CD06">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A716884"/>
    <w:multiLevelType w:val="hybridMultilevel"/>
    <w:tmpl w:val="419EB504"/>
    <w:lvl w:ilvl="0" w:tplc="5B740540">
      <w:start w:val="1"/>
      <w:numFmt w:val="bullet"/>
      <w:lvlText w:val=""/>
      <w:lvlJc w:val="left"/>
      <w:pPr>
        <w:ind w:left="720" w:hanging="360"/>
      </w:pPr>
      <w:rPr>
        <w:rFonts w:ascii="Wingdings" w:hAnsi="Wingdings" w:hint="default"/>
        <w:color w:val="23B2BE"/>
      </w:rPr>
    </w:lvl>
    <w:lvl w:ilvl="1" w:tplc="DFF089E0">
      <w:start w:val="1"/>
      <w:numFmt w:val="bullet"/>
      <w:lvlText w:val=""/>
      <w:lvlJc w:val="left"/>
      <w:pPr>
        <w:ind w:left="1440" w:hanging="360"/>
      </w:pPr>
      <w:rPr>
        <w:rFonts w:ascii="Symbol" w:hAnsi="Symbol" w:hint="default"/>
        <w:color w:val="23B2B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8850112"/>
    <w:multiLevelType w:val="hybridMultilevel"/>
    <w:tmpl w:val="6FE08672"/>
    <w:lvl w:ilvl="0" w:tplc="86A26EC2">
      <w:start w:val="1"/>
      <w:numFmt w:val="bullet"/>
      <w:lvlText w:val=""/>
      <w:lvlJc w:val="left"/>
      <w:pPr>
        <w:tabs>
          <w:tab w:val="num" w:pos="1080"/>
        </w:tabs>
        <w:ind w:left="1080" w:hanging="360"/>
      </w:pPr>
      <w:rPr>
        <w:rFonts w:ascii="Symbol" w:hAnsi="Symbol" w:hint="default"/>
        <w:color w:val="23B2BE"/>
      </w:rPr>
    </w:lvl>
    <w:lvl w:ilvl="1" w:tplc="741258F0">
      <w:start w:val="1"/>
      <w:numFmt w:val="bullet"/>
      <w:lvlText w:val=""/>
      <w:lvlJc w:val="left"/>
      <w:pPr>
        <w:tabs>
          <w:tab w:val="num" w:pos="1800"/>
        </w:tabs>
        <w:ind w:left="1800" w:hanging="360"/>
      </w:pPr>
      <w:rPr>
        <w:rFonts w:ascii="Wingdings" w:hAnsi="Wingdings" w:hint="default"/>
        <w:color w:val="23B2BE"/>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41176D"/>
    <w:multiLevelType w:val="hybridMultilevel"/>
    <w:tmpl w:val="DFCAF31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CBD3473"/>
    <w:multiLevelType w:val="hybridMultilevel"/>
    <w:tmpl w:val="1AACBE14"/>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16"/>
  </w:num>
  <w:num w:numId="5">
    <w:abstractNumId w:val="2"/>
  </w:num>
  <w:num w:numId="6">
    <w:abstractNumId w:val="21"/>
  </w:num>
  <w:num w:numId="7">
    <w:abstractNumId w:val="14"/>
  </w:num>
  <w:num w:numId="8">
    <w:abstractNumId w:val="9"/>
  </w:num>
  <w:num w:numId="9">
    <w:abstractNumId w:val="0"/>
  </w:num>
  <w:num w:numId="10">
    <w:abstractNumId w:val="19"/>
  </w:num>
  <w:num w:numId="11">
    <w:abstractNumId w:val="10"/>
  </w:num>
  <w:num w:numId="12">
    <w:abstractNumId w:val="17"/>
  </w:num>
  <w:num w:numId="13">
    <w:abstractNumId w:val="8"/>
  </w:num>
  <w:num w:numId="14">
    <w:abstractNumId w:val="6"/>
  </w:num>
  <w:num w:numId="15">
    <w:abstractNumId w:val="15"/>
  </w:num>
  <w:num w:numId="16">
    <w:abstractNumId w:val="20"/>
  </w:num>
  <w:num w:numId="17">
    <w:abstractNumId w:val="18"/>
  </w:num>
  <w:num w:numId="18">
    <w:abstractNumId w:val="5"/>
  </w:num>
  <w:num w:numId="19">
    <w:abstractNumId w:val="7"/>
  </w:num>
  <w:num w:numId="20">
    <w:abstractNumId w:val="27"/>
  </w:num>
  <w:num w:numId="21">
    <w:abstractNumId w:val="23"/>
  </w:num>
  <w:num w:numId="22">
    <w:abstractNumId w:val="25"/>
  </w:num>
  <w:num w:numId="23">
    <w:abstractNumId w:val="22"/>
  </w:num>
  <w:num w:numId="24">
    <w:abstractNumId w:val="11"/>
  </w:num>
  <w:num w:numId="25">
    <w:abstractNumId w:val="3"/>
  </w:num>
  <w:num w:numId="26">
    <w:abstractNumId w:val="4"/>
  </w:num>
  <w:num w:numId="27">
    <w:abstractNumId w:val="12"/>
  </w:num>
  <w:num w:numId="28">
    <w:abstractNumId w:val="24"/>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PAB-DGAP\Shared-Partagé\PAB 2022|TextBase TMs\PAB-DGAP\Shared-Partagé\PAB 2021|TextBase TMs\PAB-DGAP\Shared-Partagé\PAB 2018|TextBase TMs\PAB-DGAP\Shared-Partagé\PAB 2017|TextBase TMs\PAB-DGAP\Shared-Partagé\PAB 2016|TextBase TMs\PAB-DGAP\Shared-Partagé\EACprojectT1|TextBase TMs\PAB-DGAP\Shared-Partagé\PAB-DGAP S-P"/>
    <w:docVar w:name="TextBaseURL" w:val="empty"/>
    <w:docVar w:name="UILng" w:val="en"/>
  </w:docVars>
  <w:rsids>
    <w:rsidRoot w:val="00C91578"/>
    <w:rsid w:val="000012B4"/>
    <w:rsid w:val="000021CD"/>
    <w:rsid w:val="00003019"/>
    <w:rsid w:val="000063AC"/>
    <w:rsid w:val="00014AC4"/>
    <w:rsid w:val="00015110"/>
    <w:rsid w:val="00021655"/>
    <w:rsid w:val="00021E05"/>
    <w:rsid w:val="00023C7F"/>
    <w:rsid w:val="00024323"/>
    <w:rsid w:val="00027E1D"/>
    <w:rsid w:val="00031058"/>
    <w:rsid w:val="0003596B"/>
    <w:rsid w:val="00036083"/>
    <w:rsid w:val="00036EFE"/>
    <w:rsid w:val="00042D1C"/>
    <w:rsid w:val="0004796F"/>
    <w:rsid w:val="00051BF5"/>
    <w:rsid w:val="0005331D"/>
    <w:rsid w:val="0005546F"/>
    <w:rsid w:val="000558C4"/>
    <w:rsid w:val="00055F51"/>
    <w:rsid w:val="00062849"/>
    <w:rsid w:val="00064D8C"/>
    <w:rsid w:val="000666CF"/>
    <w:rsid w:val="0007361C"/>
    <w:rsid w:val="000752BE"/>
    <w:rsid w:val="000843AC"/>
    <w:rsid w:val="000853D2"/>
    <w:rsid w:val="00085BAB"/>
    <w:rsid w:val="00085FAC"/>
    <w:rsid w:val="00090BE0"/>
    <w:rsid w:val="00091B6D"/>
    <w:rsid w:val="00096331"/>
    <w:rsid w:val="000A2E76"/>
    <w:rsid w:val="000A3439"/>
    <w:rsid w:val="000A59B9"/>
    <w:rsid w:val="000A7D6E"/>
    <w:rsid w:val="000B0332"/>
    <w:rsid w:val="000B0B23"/>
    <w:rsid w:val="000B13A4"/>
    <w:rsid w:val="000B7BB7"/>
    <w:rsid w:val="000B7E27"/>
    <w:rsid w:val="000C7E7E"/>
    <w:rsid w:val="000D04A4"/>
    <w:rsid w:val="000D0D39"/>
    <w:rsid w:val="000D14A2"/>
    <w:rsid w:val="000D1F13"/>
    <w:rsid w:val="000D22A1"/>
    <w:rsid w:val="000D3E17"/>
    <w:rsid w:val="000D507E"/>
    <w:rsid w:val="000D579B"/>
    <w:rsid w:val="000E0890"/>
    <w:rsid w:val="000E2B10"/>
    <w:rsid w:val="000F0EEA"/>
    <w:rsid w:val="000F2D8C"/>
    <w:rsid w:val="000F549D"/>
    <w:rsid w:val="0010025B"/>
    <w:rsid w:val="0010487B"/>
    <w:rsid w:val="0011479B"/>
    <w:rsid w:val="00116230"/>
    <w:rsid w:val="00117138"/>
    <w:rsid w:val="00120777"/>
    <w:rsid w:val="001237C9"/>
    <w:rsid w:val="00123974"/>
    <w:rsid w:val="00124AC9"/>
    <w:rsid w:val="00126E02"/>
    <w:rsid w:val="00132145"/>
    <w:rsid w:val="00132B0C"/>
    <w:rsid w:val="00132EE1"/>
    <w:rsid w:val="0013392D"/>
    <w:rsid w:val="00136076"/>
    <w:rsid w:val="00136DD5"/>
    <w:rsid w:val="001462DF"/>
    <w:rsid w:val="00147A57"/>
    <w:rsid w:val="001563A2"/>
    <w:rsid w:val="00156C3A"/>
    <w:rsid w:val="00156CF2"/>
    <w:rsid w:val="00157D54"/>
    <w:rsid w:val="00162A1A"/>
    <w:rsid w:val="00170521"/>
    <w:rsid w:val="001724A8"/>
    <w:rsid w:val="00172672"/>
    <w:rsid w:val="00172FB9"/>
    <w:rsid w:val="00183D14"/>
    <w:rsid w:val="00183D35"/>
    <w:rsid w:val="001847DD"/>
    <w:rsid w:val="00191053"/>
    <w:rsid w:val="00194BC1"/>
    <w:rsid w:val="001A05B8"/>
    <w:rsid w:val="001A5901"/>
    <w:rsid w:val="001A761A"/>
    <w:rsid w:val="001B19DB"/>
    <w:rsid w:val="001B3731"/>
    <w:rsid w:val="001C08E8"/>
    <w:rsid w:val="001C70BA"/>
    <w:rsid w:val="001D105F"/>
    <w:rsid w:val="001D3F50"/>
    <w:rsid w:val="001E275F"/>
    <w:rsid w:val="001E3F22"/>
    <w:rsid w:val="001E43EF"/>
    <w:rsid w:val="001F57F0"/>
    <w:rsid w:val="001F7578"/>
    <w:rsid w:val="002011B3"/>
    <w:rsid w:val="00204B25"/>
    <w:rsid w:val="0020577C"/>
    <w:rsid w:val="00206407"/>
    <w:rsid w:val="00206AF6"/>
    <w:rsid w:val="002117F6"/>
    <w:rsid w:val="00211BBF"/>
    <w:rsid w:val="00221C0C"/>
    <w:rsid w:val="00222580"/>
    <w:rsid w:val="0022428C"/>
    <w:rsid w:val="0022488C"/>
    <w:rsid w:val="00224967"/>
    <w:rsid w:val="0022627D"/>
    <w:rsid w:val="0022787E"/>
    <w:rsid w:val="00230607"/>
    <w:rsid w:val="0023400B"/>
    <w:rsid w:val="00234440"/>
    <w:rsid w:val="00235CC9"/>
    <w:rsid w:val="00243FB8"/>
    <w:rsid w:val="0024538D"/>
    <w:rsid w:val="002457C8"/>
    <w:rsid w:val="0025097A"/>
    <w:rsid w:val="002566D1"/>
    <w:rsid w:val="00260F51"/>
    <w:rsid w:val="00262F0E"/>
    <w:rsid w:val="00266E1C"/>
    <w:rsid w:val="0027671A"/>
    <w:rsid w:val="002812E3"/>
    <w:rsid w:val="00284BF2"/>
    <w:rsid w:val="002856FB"/>
    <w:rsid w:val="00285C42"/>
    <w:rsid w:val="0028672D"/>
    <w:rsid w:val="00286A24"/>
    <w:rsid w:val="00294BDF"/>
    <w:rsid w:val="002955F5"/>
    <w:rsid w:val="00297C12"/>
    <w:rsid w:val="002A26C7"/>
    <w:rsid w:val="002A353E"/>
    <w:rsid w:val="002B17A4"/>
    <w:rsid w:val="002B3386"/>
    <w:rsid w:val="002B6CCC"/>
    <w:rsid w:val="002C0CCA"/>
    <w:rsid w:val="002C2CB5"/>
    <w:rsid w:val="002C2ED3"/>
    <w:rsid w:val="002C523D"/>
    <w:rsid w:val="002C6C3C"/>
    <w:rsid w:val="002D048D"/>
    <w:rsid w:val="002D275A"/>
    <w:rsid w:val="002D335F"/>
    <w:rsid w:val="002D4740"/>
    <w:rsid w:val="002D6F2C"/>
    <w:rsid w:val="002E7B0A"/>
    <w:rsid w:val="002F037C"/>
    <w:rsid w:val="002F35D0"/>
    <w:rsid w:val="002F6764"/>
    <w:rsid w:val="002F7A34"/>
    <w:rsid w:val="00303A83"/>
    <w:rsid w:val="003043A3"/>
    <w:rsid w:val="00304433"/>
    <w:rsid w:val="0030486A"/>
    <w:rsid w:val="00311FA6"/>
    <w:rsid w:val="00313DD9"/>
    <w:rsid w:val="00314253"/>
    <w:rsid w:val="00315212"/>
    <w:rsid w:val="00315C99"/>
    <w:rsid w:val="00317A3A"/>
    <w:rsid w:val="00325008"/>
    <w:rsid w:val="00332AEC"/>
    <w:rsid w:val="00343E85"/>
    <w:rsid w:val="0034431A"/>
    <w:rsid w:val="00353039"/>
    <w:rsid w:val="00353340"/>
    <w:rsid w:val="00361F8B"/>
    <w:rsid w:val="0036295D"/>
    <w:rsid w:val="0036484D"/>
    <w:rsid w:val="00370590"/>
    <w:rsid w:val="00373D11"/>
    <w:rsid w:val="00374065"/>
    <w:rsid w:val="003829DF"/>
    <w:rsid w:val="003873AB"/>
    <w:rsid w:val="00387ABE"/>
    <w:rsid w:val="00387D42"/>
    <w:rsid w:val="00390E8B"/>
    <w:rsid w:val="0039186B"/>
    <w:rsid w:val="0039233B"/>
    <w:rsid w:val="00394130"/>
    <w:rsid w:val="003A0F76"/>
    <w:rsid w:val="003A265C"/>
    <w:rsid w:val="003B1D26"/>
    <w:rsid w:val="003B1FA1"/>
    <w:rsid w:val="003B4784"/>
    <w:rsid w:val="003B4D8F"/>
    <w:rsid w:val="003B52E6"/>
    <w:rsid w:val="003B6CBF"/>
    <w:rsid w:val="003C0F0B"/>
    <w:rsid w:val="003C320E"/>
    <w:rsid w:val="003C3925"/>
    <w:rsid w:val="003C5FFB"/>
    <w:rsid w:val="003D2956"/>
    <w:rsid w:val="003D2BF5"/>
    <w:rsid w:val="003D4118"/>
    <w:rsid w:val="003D4D20"/>
    <w:rsid w:val="003D53ED"/>
    <w:rsid w:val="003E0DB9"/>
    <w:rsid w:val="003E2A20"/>
    <w:rsid w:val="003E3914"/>
    <w:rsid w:val="003E461C"/>
    <w:rsid w:val="003E66A9"/>
    <w:rsid w:val="003E6F9F"/>
    <w:rsid w:val="003E7FAE"/>
    <w:rsid w:val="0040554C"/>
    <w:rsid w:val="00406962"/>
    <w:rsid w:val="00412720"/>
    <w:rsid w:val="0041556F"/>
    <w:rsid w:val="00420278"/>
    <w:rsid w:val="00422EB2"/>
    <w:rsid w:val="00423673"/>
    <w:rsid w:val="00430256"/>
    <w:rsid w:val="004304EF"/>
    <w:rsid w:val="00430871"/>
    <w:rsid w:val="00432B71"/>
    <w:rsid w:val="00443BDD"/>
    <w:rsid w:val="0045136B"/>
    <w:rsid w:val="00453B06"/>
    <w:rsid w:val="00465417"/>
    <w:rsid w:val="00465EBD"/>
    <w:rsid w:val="004661DF"/>
    <w:rsid w:val="0047178D"/>
    <w:rsid w:val="00474471"/>
    <w:rsid w:val="00474941"/>
    <w:rsid w:val="00474B82"/>
    <w:rsid w:val="00475740"/>
    <w:rsid w:val="004769C0"/>
    <w:rsid w:val="00487746"/>
    <w:rsid w:val="00491010"/>
    <w:rsid w:val="004A23C9"/>
    <w:rsid w:val="004A2685"/>
    <w:rsid w:val="004A455D"/>
    <w:rsid w:val="004B0DFA"/>
    <w:rsid w:val="004B1708"/>
    <w:rsid w:val="004B180A"/>
    <w:rsid w:val="004C3D1C"/>
    <w:rsid w:val="004D1405"/>
    <w:rsid w:val="004D1D27"/>
    <w:rsid w:val="004E6F14"/>
    <w:rsid w:val="004E7DED"/>
    <w:rsid w:val="004F15D7"/>
    <w:rsid w:val="004F218F"/>
    <w:rsid w:val="004F30F5"/>
    <w:rsid w:val="00500412"/>
    <w:rsid w:val="00501E94"/>
    <w:rsid w:val="005077C5"/>
    <w:rsid w:val="00511F78"/>
    <w:rsid w:val="005152B8"/>
    <w:rsid w:val="00515A1F"/>
    <w:rsid w:val="005203A7"/>
    <w:rsid w:val="00522B9E"/>
    <w:rsid w:val="00525BEC"/>
    <w:rsid w:val="005336C7"/>
    <w:rsid w:val="00534C8A"/>
    <w:rsid w:val="0053784F"/>
    <w:rsid w:val="005435AD"/>
    <w:rsid w:val="005466C6"/>
    <w:rsid w:val="00555985"/>
    <w:rsid w:val="005577B6"/>
    <w:rsid w:val="0056160A"/>
    <w:rsid w:val="005635FA"/>
    <w:rsid w:val="0056517E"/>
    <w:rsid w:val="005654FB"/>
    <w:rsid w:val="00566AFD"/>
    <w:rsid w:val="00570F96"/>
    <w:rsid w:val="00572EE9"/>
    <w:rsid w:val="00572FF9"/>
    <w:rsid w:val="00573BD0"/>
    <w:rsid w:val="00580B2B"/>
    <w:rsid w:val="0058123B"/>
    <w:rsid w:val="00581A43"/>
    <w:rsid w:val="00582832"/>
    <w:rsid w:val="0059235D"/>
    <w:rsid w:val="00595357"/>
    <w:rsid w:val="005974DB"/>
    <w:rsid w:val="005A164F"/>
    <w:rsid w:val="005B6C31"/>
    <w:rsid w:val="005C37A8"/>
    <w:rsid w:val="005C7130"/>
    <w:rsid w:val="005D0B9F"/>
    <w:rsid w:val="005D2843"/>
    <w:rsid w:val="005E070F"/>
    <w:rsid w:val="005E1188"/>
    <w:rsid w:val="005E2A18"/>
    <w:rsid w:val="005E65A2"/>
    <w:rsid w:val="005F386E"/>
    <w:rsid w:val="005F5F1D"/>
    <w:rsid w:val="005F6971"/>
    <w:rsid w:val="00601E54"/>
    <w:rsid w:val="00601FE0"/>
    <w:rsid w:val="00605C57"/>
    <w:rsid w:val="00607630"/>
    <w:rsid w:val="00607683"/>
    <w:rsid w:val="00615D41"/>
    <w:rsid w:val="0061650B"/>
    <w:rsid w:val="00622136"/>
    <w:rsid w:val="0062290C"/>
    <w:rsid w:val="00630B91"/>
    <w:rsid w:val="006321ED"/>
    <w:rsid w:val="00637763"/>
    <w:rsid w:val="00640444"/>
    <w:rsid w:val="006430D9"/>
    <w:rsid w:val="00657227"/>
    <w:rsid w:val="006603AE"/>
    <w:rsid w:val="00660C79"/>
    <w:rsid w:val="00662C7F"/>
    <w:rsid w:val="00663E9C"/>
    <w:rsid w:val="00665C06"/>
    <w:rsid w:val="00667958"/>
    <w:rsid w:val="0067294C"/>
    <w:rsid w:val="00677C03"/>
    <w:rsid w:val="00686F54"/>
    <w:rsid w:val="00690D09"/>
    <w:rsid w:val="006936B1"/>
    <w:rsid w:val="00693AA6"/>
    <w:rsid w:val="00697AE5"/>
    <w:rsid w:val="006A09E1"/>
    <w:rsid w:val="006A3D6A"/>
    <w:rsid w:val="006C328F"/>
    <w:rsid w:val="006E222B"/>
    <w:rsid w:val="006E233C"/>
    <w:rsid w:val="006E799D"/>
    <w:rsid w:val="006F0712"/>
    <w:rsid w:val="006F6C27"/>
    <w:rsid w:val="007045E4"/>
    <w:rsid w:val="00713462"/>
    <w:rsid w:val="00730A03"/>
    <w:rsid w:val="00731874"/>
    <w:rsid w:val="00731E05"/>
    <w:rsid w:val="00737C8C"/>
    <w:rsid w:val="00743C68"/>
    <w:rsid w:val="00746D83"/>
    <w:rsid w:val="00750B3F"/>
    <w:rsid w:val="00753B31"/>
    <w:rsid w:val="00754026"/>
    <w:rsid w:val="00755115"/>
    <w:rsid w:val="007631C3"/>
    <w:rsid w:val="00766D50"/>
    <w:rsid w:val="007678C3"/>
    <w:rsid w:val="00767AC7"/>
    <w:rsid w:val="00773368"/>
    <w:rsid w:val="0077584E"/>
    <w:rsid w:val="007770CA"/>
    <w:rsid w:val="007816C6"/>
    <w:rsid w:val="00786977"/>
    <w:rsid w:val="00787E54"/>
    <w:rsid w:val="00796300"/>
    <w:rsid w:val="007A2318"/>
    <w:rsid w:val="007A2420"/>
    <w:rsid w:val="007A559C"/>
    <w:rsid w:val="007A690C"/>
    <w:rsid w:val="007A7772"/>
    <w:rsid w:val="007B7214"/>
    <w:rsid w:val="007C2C7B"/>
    <w:rsid w:val="007C6437"/>
    <w:rsid w:val="007D2F91"/>
    <w:rsid w:val="007E1CBE"/>
    <w:rsid w:val="007E2B17"/>
    <w:rsid w:val="007E3E66"/>
    <w:rsid w:val="007E6E75"/>
    <w:rsid w:val="007F1826"/>
    <w:rsid w:val="007F514C"/>
    <w:rsid w:val="0080050A"/>
    <w:rsid w:val="00804ACB"/>
    <w:rsid w:val="0081234B"/>
    <w:rsid w:val="00813D1C"/>
    <w:rsid w:val="0083118E"/>
    <w:rsid w:val="00831BBF"/>
    <w:rsid w:val="008328C9"/>
    <w:rsid w:val="00835226"/>
    <w:rsid w:val="00845288"/>
    <w:rsid w:val="00847152"/>
    <w:rsid w:val="00851D0C"/>
    <w:rsid w:val="00852A36"/>
    <w:rsid w:val="00852D3D"/>
    <w:rsid w:val="00854ACC"/>
    <w:rsid w:val="0085689D"/>
    <w:rsid w:val="00863EDF"/>
    <w:rsid w:val="008654B8"/>
    <w:rsid w:val="00865647"/>
    <w:rsid w:val="00865C3D"/>
    <w:rsid w:val="00872464"/>
    <w:rsid w:val="0088151A"/>
    <w:rsid w:val="0088155B"/>
    <w:rsid w:val="00892590"/>
    <w:rsid w:val="008938AF"/>
    <w:rsid w:val="008968F5"/>
    <w:rsid w:val="008A2735"/>
    <w:rsid w:val="008B0B32"/>
    <w:rsid w:val="008B143D"/>
    <w:rsid w:val="008B3860"/>
    <w:rsid w:val="008B3F9A"/>
    <w:rsid w:val="008B5A3C"/>
    <w:rsid w:val="008D137F"/>
    <w:rsid w:val="008D13EF"/>
    <w:rsid w:val="008D55B8"/>
    <w:rsid w:val="008D5850"/>
    <w:rsid w:val="008D653A"/>
    <w:rsid w:val="008E4AD5"/>
    <w:rsid w:val="008E60A1"/>
    <w:rsid w:val="008F2230"/>
    <w:rsid w:val="008F5535"/>
    <w:rsid w:val="00900762"/>
    <w:rsid w:val="00901121"/>
    <w:rsid w:val="0090343C"/>
    <w:rsid w:val="009054DB"/>
    <w:rsid w:val="00906890"/>
    <w:rsid w:val="00911D0A"/>
    <w:rsid w:val="00913A16"/>
    <w:rsid w:val="009152C7"/>
    <w:rsid w:val="00917738"/>
    <w:rsid w:val="00917D98"/>
    <w:rsid w:val="00924DE4"/>
    <w:rsid w:val="00927B8B"/>
    <w:rsid w:val="00927FDC"/>
    <w:rsid w:val="00932821"/>
    <w:rsid w:val="00940021"/>
    <w:rsid w:val="009428FC"/>
    <w:rsid w:val="009449B7"/>
    <w:rsid w:val="00952359"/>
    <w:rsid w:val="00955F3B"/>
    <w:rsid w:val="0096505A"/>
    <w:rsid w:val="00965A92"/>
    <w:rsid w:val="00970181"/>
    <w:rsid w:val="00971C27"/>
    <w:rsid w:val="00975198"/>
    <w:rsid w:val="00977062"/>
    <w:rsid w:val="00982702"/>
    <w:rsid w:val="00982BB8"/>
    <w:rsid w:val="00984007"/>
    <w:rsid w:val="00986EA4"/>
    <w:rsid w:val="00992B64"/>
    <w:rsid w:val="00993C9B"/>
    <w:rsid w:val="00994DFC"/>
    <w:rsid w:val="00996735"/>
    <w:rsid w:val="00996797"/>
    <w:rsid w:val="00996910"/>
    <w:rsid w:val="009973ED"/>
    <w:rsid w:val="009977FC"/>
    <w:rsid w:val="009A1771"/>
    <w:rsid w:val="009A1820"/>
    <w:rsid w:val="009A795A"/>
    <w:rsid w:val="009B0EB3"/>
    <w:rsid w:val="009B39AE"/>
    <w:rsid w:val="009B3BC2"/>
    <w:rsid w:val="009B4150"/>
    <w:rsid w:val="009B461B"/>
    <w:rsid w:val="009B7CFD"/>
    <w:rsid w:val="009C13D3"/>
    <w:rsid w:val="009C4167"/>
    <w:rsid w:val="009D4F1D"/>
    <w:rsid w:val="009D4FFF"/>
    <w:rsid w:val="009E09AD"/>
    <w:rsid w:val="009E41ED"/>
    <w:rsid w:val="009F2100"/>
    <w:rsid w:val="009F2B01"/>
    <w:rsid w:val="009F69E5"/>
    <w:rsid w:val="00A007D7"/>
    <w:rsid w:val="00A04417"/>
    <w:rsid w:val="00A05D93"/>
    <w:rsid w:val="00A0688F"/>
    <w:rsid w:val="00A104EF"/>
    <w:rsid w:val="00A1082B"/>
    <w:rsid w:val="00A12920"/>
    <w:rsid w:val="00A233B4"/>
    <w:rsid w:val="00A25B15"/>
    <w:rsid w:val="00A277AB"/>
    <w:rsid w:val="00A27851"/>
    <w:rsid w:val="00A3594B"/>
    <w:rsid w:val="00A44CE5"/>
    <w:rsid w:val="00A45918"/>
    <w:rsid w:val="00A548A7"/>
    <w:rsid w:val="00A55DAB"/>
    <w:rsid w:val="00A63B83"/>
    <w:rsid w:val="00A65F06"/>
    <w:rsid w:val="00A67275"/>
    <w:rsid w:val="00A67491"/>
    <w:rsid w:val="00A711C7"/>
    <w:rsid w:val="00A73455"/>
    <w:rsid w:val="00A74AA3"/>
    <w:rsid w:val="00A84B08"/>
    <w:rsid w:val="00AA0BA1"/>
    <w:rsid w:val="00AA26A4"/>
    <w:rsid w:val="00AB2421"/>
    <w:rsid w:val="00AB2628"/>
    <w:rsid w:val="00AB2AF2"/>
    <w:rsid w:val="00AB36D3"/>
    <w:rsid w:val="00AB49EA"/>
    <w:rsid w:val="00AB56D5"/>
    <w:rsid w:val="00AB65EA"/>
    <w:rsid w:val="00AC02F7"/>
    <w:rsid w:val="00AE120D"/>
    <w:rsid w:val="00AE422A"/>
    <w:rsid w:val="00AE55A2"/>
    <w:rsid w:val="00AF5210"/>
    <w:rsid w:val="00AF5F8E"/>
    <w:rsid w:val="00AF71AC"/>
    <w:rsid w:val="00AF77AC"/>
    <w:rsid w:val="00AF789E"/>
    <w:rsid w:val="00B0437C"/>
    <w:rsid w:val="00B125D3"/>
    <w:rsid w:val="00B20CDA"/>
    <w:rsid w:val="00B27BEF"/>
    <w:rsid w:val="00B32A73"/>
    <w:rsid w:val="00B348E2"/>
    <w:rsid w:val="00B407AD"/>
    <w:rsid w:val="00B57D30"/>
    <w:rsid w:val="00B6736D"/>
    <w:rsid w:val="00B67ABA"/>
    <w:rsid w:val="00B70C7D"/>
    <w:rsid w:val="00B718D7"/>
    <w:rsid w:val="00B7193C"/>
    <w:rsid w:val="00B729C6"/>
    <w:rsid w:val="00B85C27"/>
    <w:rsid w:val="00B8727B"/>
    <w:rsid w:val="00B8750C"/>
    <w:rsid w:val="00B91005"/>
    <w:rsid w:val="00B91F8E"/>
    <w:rsid w:val="00B956BC"/>
    <w:rsid w:val="00B95FB1"/>
    <w:rsid w:val="00BA3DE8"/>
    <w:rsid w:val="00BA46C4"/>
    <w:rsid w:val="00BB1145"/>
    <w:rsid w:val="00BB2692"/>
    <w:rsid w:val="00BB46AD"/>
    <w:rsid w:val="00BB4D9C"/>
    <w:rsid w:val="00BB6A47"/>
    <w:rsid w:val="00BC3DFB"/>
    <w:rsid w:val="00BD1B0E"/>
    <w:rsid w:val="00BD6339"/>
    <w:rsid w:val="00BE0E88"/>
    <w:rsid w:val="00BE3D6E"/>
    <w:rsid w:val="00BE6F66"/>
    <w:rsid w:val="00BF59C2"/>
    <w:rsid w:val="00C01616"/>
    <w:rsid w:val="00C01745"/>
    <w:rsid w:val="00C05D0A"/>
    <w:rsid w:val="00C10E93"/>
    <w:rsid w:val="00C17C56"/>
    <w:rsid w:val="00C2252F"/>
    <w:rsid w:val="00C27C88"/>
    <w:rsid w:val="00C30840"/>
    <w:rsid w:val="00C34583"/>
    <w:rsid w:val="00C453B4"/>
    <w:rsid w:val="00C45EE1"/>
    <w:rsid w:val="00C57887"/>
    <w:rsid w:val="00C653BC"/>
    <w:rsid w:val="00C7033F"/>
    <w:rsid w:val="00C82CC8"/>
    <w:rsid w:val="00C86319"/>
    <w:rsid w:val="00C86A26"/>
    <w:rsid w:val="00C87483"/>
    <w:rsid w:val="00C90BE9"/>
    <w:rsid w:val="00C91578"/>
    <w:rsid w:val="00C9369D"/>
    <w:rsid w:val="00C93F85"/>
    <w:rsid w:val="00C94102"/>
    <w:rsid w:val="00C96C0D"/>
    <w:rsid w:val="00CA0840"/>
    <w:rsid w:val="00CB33C0"/>
    <w:rsid w:val="00CC0CAF"/>
    <w:rsid w:val="00CC6609"/>
    <w:rsid w:val="00CD12DF"/>
    <w:rsid w:val="00CD211E"/>
    <w:rsid w:val="00CD2ADD"/>
    <w:rsid w:val="00CD39C0"/>
    <w:rsid w:val="00CD449E"/>
    <w:rsid w:val="00CD5466"/>
    <w:rsid w:val="00CD6199"/>
    <w:rsid w:val="00CE04A6"/>
    <w:rsid w:val="00CF158F"/>
    <w:rsid w:val="00CF75CA"/>
    <w:rsid w:val="00D009A1"/>
    <w:rsid w:val="00D064A7"/>
    <w:rsid w:val="00D111C4"/>
    <w:rsid w:val="00D2086D"/>
    <w:rsid w:val="00D209F9"/>
    <w:rsid w:val="00D271A2"/>
    <w:rsid w:val="00D27FA6"/>
    <w:rsid w:val="00D32078"/>
    <w:rsid w:val="00D34C9B"/>
    <w:rsid w:val="00D419F9"/>
    <w:rsid w:val="00D44B68"/>
    <w:rsid w:val="00D5407D"/>
    <w:rsid w:val="00D56013"/>
    <w:rsid w:val="00D632D5"/>
    <w:rsid w:val="00D72FFA"/>
    <w:rsid w:val="00D7471C"/>
    <w:rsid w:val="00D805E0"/>
    <w:rsid w:val="00D813E4"/>
    <w:rsid w:val="00D849DE"/>
    <w:rsid w:val="00D90738"/>
    <w:rsid w:val="00D97EFD"/>
    <w:rsid w:val="00DA21E1"/>
    <w:rsid w:val="00DA3023"/>
    <w:rsid w:val="00DB33C1"/>
    <w:rsid w:val="00DC2BCA"/>
    <w:rsid w:val="00DC4611"/>
    <w:rsid w:val="00DD12C8"/>
    <w:rsid w:val="00DD1447"/>
    <w:rsid w:val="00DD2429"/>
    <w:rsid w:val="00DD30CF"/>
    <w:rsid w:val="00DD440B"/>
    <w:rsid w:val="00DD52F6"/>
    <w:rsid w:val="00DE1F37"/>
    <w:rsid w:val="00DE2721"/>
    <w:rsid w:val="00DE2E89"/>
    <w:rsid w:val="00DE2ED0"/>
    <w:rsid w:val="00DE7848"/>
    <w:rsid w:val="00DF1F80"/>
    <w:rsid w:val="00DF5956"/>
    <w:rsid w:val="00E04A27"/>
    <w:rsid w:val="00E05E92"/>
    <w:rsid w:val="00E1271C"/>
    <w:rsid w:val="00E12A9D"/>
    <w:rsid w:val="00E201CB"/>
    <w:rsid w:val="00E26241"/>
    <w:rsid w:val="00E30150"/>
    <w:rsid w:val="00E30ACF"/>
    <w:rsid w:val="00E31B10"/>
    <w:rsid w:val="00E3294A"/>
    <w:rsid w:val="00E32DE3"/>
    <w:rsid w:val="00E346CE"/>
    <w:rsid w:val="00E3518A"/>
    <w:rsid w:val="00E36A5F"/>
    <w:rsid w:val="00E40CA8"/>
    <w:rsid w:val="00E4486E"/>
    <w:rsid w:val="00E44DE1"/>
    <w:rsid w:val="00E45D4F"/>
    <w:rsid w:val="00E5263C"/>
    <w:rsid w:val="00E52CBB"/>
    <w:rsid w:val="00E52CE5"/>
    <w:rsid w:val="00E533B2"/>
    <w:rsid w:val="00E54CA9"/>
    <w:rsid w:val="00E62965"/>
    <w:rsid w:val="00E63169"/>
    <w:rsid w:val="00E64528"/>
    <w:rsid w:val="00E65F52"/>
    <w:rsid w:val="00E73E41"/>
    <w:rsid w:val="00E77D6F"/>
    <w:rsid w:val="00E84702"/>
    <w:rsid w:val="00E915F1"/>
    <w:rsid w:val="00E917E0"/>
    <w:rsid w:val="00E9342B"/>
    <w:rsid w:val="00E969D7"/>
    <w:rsid w:val="00EA1844"/>
    <w:rsid w:val="00EA42B3"/>
    <w:rsid w:val="00EA6D7E"/>
    <w:rsid w:val="00EB11B3"/>
    <w:rsid w:val="00EB29D2"/>
    <w:rsid w:val="00EB3B18"/>
    <w:rsid w:val="00EB468B"/>
    <w:rsid w:val="00EB70A9"/>
    <w:rsid w:val="00EC27A1"/>
    <w:rsid w:val="00ED1DFC"/>
    <w:rsid w:val="00ED2E4E"/>
    <w:rsid w:val="00ED5D92"/>
    <w:rsid w:val="00EE070A"/>
    <w:rsid w:val="00EE7144"/>
    <w:rsid w:val="00EF45E7"/>
    <w:rsid w:val="00F024D9"/>
    <w:rsid w:val="00F06ACD"/>
    <w:rsid w:val="00F10E1D"/>
    <w:rsid w:val="00F11793"/>
    <w:rsid w:val="00F12217"/>
    <w:rsid w:val="00F13729"/>
    <w:rsid w:val="00F20918"/>
    <w:rsid w:val="00F21016"/>
    <w:rsid w:val="00F220B9"/>
    <w:rsid w:val="00F26146"/>
    <w:rsid w:val="00F26C40"/>
    <w:rsid w:val="00F32F58"/>
    <w:rsid w:val="00F3448C"/>
    <w:rsid w:val="00F37DFC"/>
    <w:rsid w:val="00F409E6"/>
    <w:rsid w:val="00F43D4E"/>
    <w:rsid w:val="00F511EF"/>
    <w:rsid w:val="00F5361E"/>
    <w:rsid w:val="00F53EC8"/>
    <w:rsid w:val="00F558E4"/>
    <w:rsid w:val="00F57334"/>
    <w:rsid w:val="00F62FD7"/>
    <w:rsid w:val="00F642A2"/>
    <w:rsid w:val="00F72257"/>
    <w:rsid w:val="00F7317D"/>
    <w:rsid w:val="00F73A62"/>
    <w:rsid w:val="00F75167"/>
    <w:rsid w:val="00F767C8"/>
    <w:rsid w:val="00F77703"/>
    <w:rsid w:val="00F80931"/>
    <w:rsid w:val="00F83BE6"/>
    <w:rsid w:val="00F87E76"/>
    <w:rsid w:val="00F905D7"/>
    <w:rsid w:val="00F93F8C"/>
    <w:rsid w:val="00F95A46"/>
    <w:rsid w:val="00FA1893"/>
    <w:rsid w:val="00FA3219"/>
    <w:rsid w:val="00FB117F"/>
    <w:rsid w:val="00FC0229"/>
    <w:rsid w:val="00FC28BF"/>
    <w:rsid w:val="00FD0791"/>
    <w:rsid w:val="00FD174E"/>
    <w:rsid w:val="00FD1D7C"/>
    <w:rsid w:val="00FE0051"/>
    <w:rsid w:val="00FE01D8"/>
    <w:rsid w:val="00FE090A"/>
    <w:rsid w:val="00FE3614"/>
    <w:rsid w:val="00FF1542"/>
    <w:rsid w:val="00FF28F2"/>
    <w:rsid w:val="00FF5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0FC8F5"/>
  <w14:defaultImageDpi w14:val="330"/>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uiPriority w:val="34"/>
    <w:qFormat/>
    <w:rsid w:val="002C0CCA"/>
    <w:pPr>
      <w:numPr>
        <w:numId w:val="1"/>
      </w:numPr>
      <w:spacing w:line="276" w:lineRule="auto"/>
      <w:contextualSpacing/>
    </w:pPr>
    <w:rPr>
      <w:rFonts w:eastAsia="Times New Roman" w:cs="Calibri Light"/>
      <w:color w:val="000000"/>
      <w:spacing w:val="4"/>
      <w:szCs w:val="22"/>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fr-CA"/>
    </w:rPr>
  </w:style>
  <w:style w:type="character" w:customStyle="1" w:styleId="ListParagraphChar">
    <w:name w:val="List Paragraph Char"/>
    <w:aliases w:val="Conclusion paragraph Char"/>
    <w:basedOn w:val="DefaultParagraphFont"/>
    <w:link w:val="ListParagraph"/>
    <w:uiPriority w:val="34"/>
    <w:rsid w:val="002C0CCA"/>
    <w:rPr>
      <w:rFonts w:ascii="Calibri Light" w:eastAsia="Times New Roman" w:hAnsi="Calibri Light" w:cs="Calibri Light"/>
      <w:color w:val="000000"/>
      <w:spacing w:val="4"/>
      <w:sz w:val="22"/>
      <w:szCs w:val="22"/>
      <w:lang w:val="fr-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uiPriority w:val="99"/>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fr-CA"/>
    </w:rPr>
  </w:style>
  <w:style w:type="paragraph" w:customStyle="1" w:styleId="T12">
    <w:name w:val="T12"/>
    <w:basedOn w:val="Normal"/>
    <w:rsid w:val="004F15D7"/>
    <w:pPr>
      <w:jc w:val="both"/>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D1405"/>
    <w:rPr>
      <w:color w:val="605E5C"/>
      <w:shd w:val="clear" w:color="auto" w:fill="E1DFDD"/>
    </w:rPr>
  </w:style>
  <w:style w:type="paragraph" w:styleId="FootnoteText">
    <w:name w:val="footnote text"/>
    <w:basedOn w:val="Normal"/>
    <w:link w:val="FootnoteTextChar"/>
    <w:uiPriority w:val="99"/>
    <w:semiHidden/>
    <w:unhideWhenUsed/>
    <w:rsid w:val="00262F0E"/>
    <w:rPr>
      <w:sz w:val="20"/>
      <w:szCs w:val="20"/>
    </w:rPr>
  </w:style>
  <w:style w:type="character" w:customStyle="1" w:styleId="FootnoteTextChar">
    <w:name w:val="Footnote Text Char"/>
    <w:basedOn w:val="DefaultParagraphFont"/>
    <w:link w:val="FootnoteText"/>
    <w:uiPriority w:val="99"/>
    <w:semiHidden/>
    <w:rsid w:val="00262F0E"/>
    <w:rPr>
      <w:rFonts w:ascii="Calibri Light" w:hAnsi="Calibri Light"/>
      <w:sz w:val="20"/>
      <w:szCs w:val="20"/>
    </w:rPr>
  </w:style>
  <w:style w:type="character" w:styleId="FootnoteReference">
    <w:name w:val="footnote reference"/>
    <w:basedOn w:val="DefaultParagraphFont"/>
    <w:uiPriority w:val="99"/>
    <w:semiHidden/>
    <w:unhideWhenUsed/>
    <w:rsid w:val="00262F0E"/>
    <w:rPr>
      <w:vertAlign w:val="superscript"/>
    </w:rPr>
  </w:style>
  <w:style w:type="character" w:customStyle="1" w:styleId="UnresolvedMention3">
    <w:name w:val="Unresolved Mention3"/>
    <w:basedOn w:val="DefaultParagraphFont"/>
    <w:uiPriority w:val="99"/>
    <w:semiHidden/>
    <w:unhideWhenUsed/>
    <w:rsid w:val="0045136B"/>
    <w:rPr>
      <w:color w:val="605E5C"/>
      <w:shd w:val="clear" w:color="auto" w:fill="E1DFDD"/>
    </w:rPr>
  </w:style>
  <w:style w:type="character" w:styleId="UnresolvedMention">
    <w:name w:val="Unresolved Mention"/>
    <w:basedOn w:val="DefaultParagraphFont"/>
    <w:uiPriority w:val="99"/>
    <w:semiHidden/>
    <w:unhideWhenUsed/>
    <w:rsid w:val="0069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522741956">
      <w:bodyDiv w:val="1"/>
      <w:marLeft w:val="0"/>
      <w:marRight w:val="0"/>
      <w:marTop w:val="0"/>
      <w:marBottom w:val="0"/>
      <w:divBdr>
        <w:top w:val="none" w:sz="0" w:space="0" w:color="auto"/>
        <w:left w:val="none" w:sz="0" w:space="0" w:color="auto"/>
        <w:bottom w:val="none" w:sz="0" w:space="0" w:color="auto"/>
        <w:right w:val="none" w:sz="0" w:space="0" w:color="auto"/>
      </w:divBdr>
    </w:div>
    <w:div w:id="1526168725">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897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macintosh@narrativeresearch.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arc.media@cra-arc.g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ra-arc.media@cra-arc.gc.ca" TargetMode="External"/><Relationship Id="rId14" Type="http://schemas.openxmlformats.org/officeDocument/2006/relationships/hyperlink" Target="https://www12.statcan.gc.ca/census-recensement/2016/dp-pd/dt-td/Rp-fra.cfm?TABID=2&amp;LANG=F&amp;A=R&amp;APATH=3&amp;DETAIL=0&amp;DIM=0&amp;FL=V&amp;FREE=0&amp;GC=01&amp;GL=-1&amp;GID=1235625&amp;GK=1&amp;GRP=1&amp;O=D&amp;PID=109671&amp;PRID=0&amp;PTYPE=109445&amp;S=0&amp;SHOWALL=0&amp;SUB=0&amp;Temporal=2016&amp;THEME=118&amp;VID=0&amp;VNAMEE=&amp;VNAMEF=&amp;D1=0&amp;D2=0&amp;D3=0&amp;D4=0&amp;D5=0&amp;D6=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ntifraudcentre-centreantifraude.ca/index-fr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E583-9DDD-4A97-901C-E2224C22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4535</Words>
  <Characters>24143</Characters>
  <Application>Microsoft Office Word</Application>
  <DocSecurity>0</DocSecurity>
  <Lines>757</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Research</dc:creator>
  <cp:keywords>SecurityClassificationLevel - UNCLASSIFIED, Creator - Daly, Alana, EventDateandTime - 2021-06-29 at 02:44:48 PM, EventDateandTime - 2021-06-29 at 02:48:18 PM, Creator - Nassar, Lisa, EventDateandTime - 2021-07-06 at 03:07:45 PM, Creator - Holmes, Krista, EventDateandTime - 2021-07-09 at 10:05:33 AM, EventDateandTime - 2021-07-09 at 10:08:29 AM, EventDateandTime - 2021-07-09 at 10:52:50 AM, EventDateandTime - 2021-07-09 at 11:24:33 AM, EventDateandTime - 2021-07-09 at 11:27:28 AM, EventDateandTime - 2022-03-31 at 12:07:23 PM, EventDateandTime - 2022-03-31 at 12:08:07 PM, EventDateandTime - 2022-03-31 at 12:08:13 PM, EventDateandTime - 2022-07-08 at 02:48:39 PM, EventDateandTime - 2022-07-08 at 03:06:34 PM, EventDateandTime - 2022-07-08 at 03:10:24 PM, EventDateandTime - 2022-07-08 at 03:21:41 PM, EventDateandTime - 2022-07-08 at 03:22:05 PM, Creator - Chiabaut, Anne-Sophie, EventDateandTime - 2022-07-26 at 10:57:12 AM, EventDateandTime - 2022-07-26 at 10:57:26 AM, EventDateandTime - 2022-07-26 at 12:22:15 PM, EventDateandTime - 2022-07-26 at 12:31:22 PM, EventDateandTime - 2022-07-26 at 12:31:23 PM, EventDateandTime - 2022-08-11 at 04:21:49 PM, EventDateandTime - 2022-08-11 at 04:42:36 PM, EventDateandTime - 2022-08-11 at 04:43:32 PM, EventDateandTime - 2022-08-11 at 04:53:17 PM, EventDateandTime - 2022-08-11 at 04:55:57 PM, EventDateandTime - 2022-08-11 at 04:57:13 PM, EventDateandTime - 2022-08-11 at 05:03:08 PM</cp:keywords>
  <dc:description/>
  <cp:lastModifiedBy>Daly, Alana</cp:lastModifiedBy>
  <cp:revision>6</cp:revision>
  <cp:lastPrinted>2021-04-27T16:46:00Z</cp:lastPrinted>
  <dcterms:created xsi:type="dcterms:W3CDTF">2022-08-11T20:46:00Z</dcterms:created>
  <dcterms:modified xsi:type="dcterms:W3CDTF">2022-08-11T21:03:00Z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500f0ba2-e1d6-4549-bf60-68c1bb07d2a3</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NO</vt:lpwstr>
  </property>
  <property fmtid="{D5CDD505-2E9C-101B-9397-08002B2CF9AE}" pid="6" name="RunPrepV5.1.6">
    <vt:lpwstr>7/27/2022 8:43:58 AM</vt:lpwstr>
  </property>
</Properties>
</file>