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7F7A5" w14:textId="6618C051" w:rsidR="00CF389F" w:rsidRDefault="003864C5" w:rsidP="00CF389F">
      <w:r>
        <w:rPr>
          <w:noProof/>
          <w:lang w:val="en-CA" w:eastAsia="en-CA"/>
        </w:rPr>
        <mc:AlternateContent>
          <mc:Choice Requires="wps">
            <w:drawing>
              <wp:anchor distT="0" distB="0" distL="114300" distR="114300" simplePos="0" relativeHeight="251648512" behindDoc="0" locked="0" layoutInCell="1" allowOverlap="1" wp14:anchorId="751DBC9A" wp14:editId="5030578B">
                <wp:simplePos x="0" y="0"/>
                <wp:positionH relativeFrom="margin">
                  <wp:align>left</wp:align>
                </wp:positionH>
                <wp:positionV relativeFrom="paragraph">
                  <wp:posOffset>4229100</wp:posOffset>
                </wp:positionV>
                <wp:extent cx="5581650" cy="36144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614420"/>
                        </a:xfrm>
                        <a:prstGeom prst="rect">
                          <a:avLst/>
                        </a:prstGeom>
                        <a:solidFill>
                          <a:srgbClr val="FFFFFF"/>
                        </a:solidFill>
                        <a:ln w="9525">
                          <a:noFill/>
                          <a:miter lim="800000"/>
                          <a:headEnd/>
                          <a:tailEnd/>
                        </a:ln>
                      </wps:spPr>
                      <wps:txbx>
                        <w:txbxContent>
                          <w:p w14:paraId="43938F79" w14:textId="77777777" w:rsidR="00EE39B4" w:rsidRPr="00B9496E" w:rsidRDefault="00EE39B4" w:rsidP="003864C5">
                            <w:pPr>
                              <w:jc w:val="center"/>
                              <w:rPr>
                                <w:sz w:val="40"/>
                                <w:szCs w:val="40"/>
                              </w:rPr>
                            </w:pPr>
                          </w:p>
                          <w:p w14:paraId="0EF3FACA" w14:textId="77777777" w:rsidR="00EE39B4" w:rsidRPr="00B9496E" w:rsidRDefault="00EE39B4" w:rsidP="003864C5">
                            <w:pPr>
                              <w:jc w:val="center"/>
                              <w:rPr>
                                <w:sz w:val="40"/>
                                <w:szCs w:val="40"/>
                              </w:rPr>
                            </w:pPr>
                            <w:r>
                              <w:rPr>
                                <w:sz w:val="40"/>
                                <w:szCs w:val="40"/>
                              </w:rPr>
                              <w:t>You Have Choices:</w:t>
                            </w:r>
                            <w:r w:rsidRPr="00B9496E">
                              <w:rPr>
                                <w:sz w:val="40"/>
                                <w:szCs w:val="40"/>
                              </w:rPr>
                              <w:t xml:space="preserve"> Choosing a Service Provider </w:t>
                            </w:r>
                            <w:r>
                              <w:rPr>
                                <w:sz w:val="40"/>
                                <w:szCs w:val="40"/>
                              </w:rPr>
                              <w:t xml:space="preserve">– </w:t>
                            </w:r>
                            <w:r w:rsidRPr="00B9496E">
                              <w:rPr>
                                <w:sz w:val="40"/>
                                <w:szCs w:val="40"/>
                              </w:rPr>
                              <w:t>Online</w:t>
                            </w:r>
                            <w:r>
                              <w:rPr>
                                <w:sz w:val="40"/>
                                <w:szCs w:val="40"/>
                              </w:rPr>
                              <w:t xml:space="preserve"> </w:t>
                            </w:r>
                            <w:r w:rsidRPr="00B9496E">
                              <w:rPr>
                                <w:sz w:val="40"/>
                                <w:szCs w:val="40"/>
                              </w:rPr>
                              <w:t>Survey</w:t>
                            </w:r>
                          </w:p>
                          <w:p w14:paraId="2EC417C6" w14:textId="77777777" w:rsidR="00896957" w:rsidRDefault="00896957" w:rsidP="00896957">
                            <w:pPr>
                              <w:jc w:val="center"/>
                              <w:rPr>
                                <w:i/>
                                <w:color w:val="7F7F7F" w:themeColor="text1" w:themeTint="80"/>
                                <w:sz w:val="36"/>
                                <w:szCs w:val="36"/>
                              </w:rPr>
                            </w:pPr>
                            <w:r>
                              <w:rPr>
                                <w:i/>
                                <w:color w:val="7F7F7F" w:themeColor="text1" w:themeTint="80"/>
                                <w:sz w:val="36"/>
                                <w:szCs w:val="36"/>
                              </w:rPr>
                              <w:t>Executive Summary</w:t>
                            </w:r>
                          </w:p>
                          <w:p w14:paraId="3CDDD58D" w14:textId="02CEF06D" w:rsidR="00EE39B4" w:rsidRPr="00546F4D" w:rsidRDefault="00EE39B4" w:rsidP="003864C5">
                            <w:pPr>
                              <w:jc w:val="center"/>
                              <w:rPr>
                                <w:color w:val="7F7F7F" w:themeColor="text1" w:themeTint="80"/>
                                <w:sz w:val="32"/>
                                <w:szCs w:val="32"/>
                              </w:rPr>
                            </w:pPr>
                            <w:r>
                              <w:rPr>
                                <w:color w:val="7F7F7F" w:themeColor="text1" w:themeTint="80"/>
                                <w:sz w:val="32"/>
                                <w:szCs w:val="32"/>
                              </w:rPr>
                              <w:t>Dec</w:t>
                            </w:r>
                            <w:r w:rsidRPr="00546F4D">
                              <w:rPr>
                                <w:color w:val="7F7F7F" w:themeColor="text1" w:themeTint="80"/>
                                <w:sz w:val="32"/>
                                <w:szCs w:val="32"/>
                              </w:rPr>
                              <w:t>ember 2016</w:t>
                            </w:r>
                          </w:p>
                          <w:p w14:paraId="00C3AE9A" w14:textId="77777777" w:rsidR="00EE39B4" w:rsidRDefault="00EE39B4" w:rsidP="003864C5">
                            <w:pPr>
                              <w:spacing w:after="0"/>
                              <w:jc w:val="center"/>
                              <w:rPr>
                                <w:sz w:val="20"/>
                                <w:szCs w:val="20"/>
                                <w:lang w:val="en-CA"/>
                              </w:rPr>
                            </w:pPr>
                            <w:r>
                              <w:rPr>
                                <w:sz w:val="20"/>
                                <w:szCs w:val="20"/>
                                <w:lang w:val="en-CA"/>
                              </w:rPr>
                              <w:t>Prepared for the Canadian Radio-Television and Telecommunications Commission</w:t>
                            </w:r>
                          </w:p>
                          <w:p w14:paraId="6E0DFF5E" w14:textId="77777777" w:rsidR="00EE39B4" w:rsidRPr="00546F4D" w:rsidRDefault="00EE39B4" w:rsidP="003864C5">
                            <w:pPr>
                              <w:spacing w:after="0"/>
                              <w:jc w:val="center"/>
                              <w:rPr>
                                <w:sz w:val="20"/>
                                <w:szCs w:val="20"/>
                                <w:lang w:val="en-CA"/>
                              </w:rPr>
                            </w:pPr>
                            <w:r w:rsidRPr="00546F4D">
                              <w:rPr>
                                <w:sz w:val="20"/>
                                <w:szCs w:val="20"/>
                                <w:lang w:val="en-CA"/>
                              </w:rPr>
                              <w:t xml:space="preserve">Contract Award Date: </w:t>
                            </w:r>
                            <w:r>
                              <w:rPr>
                                <w:sz w:val="20"/>
                                <w:szCs w:val="20"/>
                                <w:lang w:val="en-CA"/>
                              </w:rPr>
                              <w:t>August 18, 2016</w:t>
                            </w:r>
                          </w:p>
                          <w:p w14:paraId="2A0AA68C" w14:textId="77777777" w:rsidR="00EE39B4" w:rsidRPr="00546F4D" w:rsidRDefault="00EE39B4" w:rsidP="003864C5">
                            <w:pPr>
                              <w:spacing w:after="0"/>
                              <w:jc w:val="center"/>
                              <w:rPr>
                                <w:sz w:val="20"/>
                                <w:szCs w:val="20"/>
                                <w:lang w:val="en-CA"/>
                              </w:rPr>
                            </w:pPr>
                            <w:r w:rsidRPr="00546F4D">
                              <w:rPr>
                                <w:sz w:val="20"/>
                                <w:szCs w:val="20"/>
                                <w:lang w:val="en-CA"/>
                              </w:rPr>
                              <w:t xml:space="preserve">Contract #:  </w:t>
                            </w:r>
                            <w:r>
                              <w:rPr>
                                <w:sz w:val="20"/>
                                <w:szCs w:val="20"/>
                                <w:lang w:val="en-CA"/>
                              </w:rPr>
                              <w:t>82082-170119/001/CY</w:t>
                            </w:r>
                          </w:p>
                          <w:p w14:paraId="75A40F5D" w14:textId="77777777" w:rsidR="00EE39B4" w:rsidRPr="00D65058" w:rsidRDefault="00EE39B4" w:rsidP="003864C5">
                            <w:pPr>
                              <w:spacing w:after="0"/>
                              <w:jc w:val="center"/>
                              <w:rPr>
                                <w:sz w:val="20"/>
                                <w:szCs w:val="20"/>
                                <w:lang w:val="en-CA"/>
                              </w:rPr>
                            </w:pPr>
                            <w:r w:rsidRPr="00D65058">
                              <w:rPr>
                                <w:sz w:val="20"/>
                                <w:szCs w:val="20"/>
                                <w:lang w:val="en-CA"/>
                              </w:rPr>
                              <w:t>POR Number: POR 034-16</w:t>
                            </w:r>
                          </w:p>
                          <w:p w14:paraId="20E83AA1" w14:textId="60951FCD" w:rsidR="00EE39B4" w:rsidRPr="00D65058" w:rsidRDefault="00EE39B4" w:rsidP="003864C5">
                            <w:pPr>
                              <w:spacing w:after="0"/>
                              <w:jc w:val="center"/>
                              <w:rPr>
                                <w:sz w:val="20"/>
                                <w:szCs w:val="20"/>
                                <w:lang w:val="en-CA"/>
                              </w:rPr>
                            </w:pPr>
                            <w:r w:rsidRPr="00D65058">
                              <w:rPr>
                                <w:sz w:val="20"/>
                                <w:szCs w:val="20"/>
                                <w:lang w:val="en-CA"/>
                              </w:rPr>
                              <w:t>Department Contact: communications@crtc.gc.ca</w:t>
                            </w:r>
                            <w:hyperlink r:id="rId8" w:history="1"/>
                          </w:p>
                          <w:p w14:paraId="081DECC9" w14:textId="77777777" w:rsidR="00EE39B4" w:rsidRPr="003864C5" w:rsidRDefault="00EE39B4" w:rsidP="003864C5">
                            <w:pPr>
                              <w:spacing w:after="0"/>
                              <w:jc w:val="center"/>
                              <w:rPr>
                                <w:i/>
                                <w:sz w:val="14"/>
                                <w:szCs w:val="14"/>
                                <w:lang w:val="fr-CA"/>
                              </w:rPr>
                            </w:pPr>
                            <w:r w:rsidRPr="003864C5">
                              <w:rPr>
                                <w:i/>
                                <w:sz w:val="20"/>
                                <w:szCs w:val="20"/>
                                <w:lang w:val="fr-CA"/>
                              </w:rPr>
                              <w:t>Ce rapport est aussi disponible en français.</w:t>
                            </w:r>
                          </w:p>
                          <w:p w14:paraId="56758B94" w14:textId="1D4525B1" w:rsidR="00EE39B4" w:rsidRPr="003864C5" w:rsidRDefault="00EE39B4" w:rsidP="003864C5">
                            <w:pPr>
                              <w:spacing w:after="0"/>
                              <w:jc w:val="center"/>
                              <w:rPr>
                                <w:sz w:val="14"/>
                                <w:szCs w:val="14"/>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DBC9A" id="_x0000_t202" coordsize="21600,21600" o:spt="202" path="m,l,21600r21600,l21600,xe">
                <v:stroke joinstyle="miter"/>
                <v:path gradientshapeok="t" o:connecttype="rect"/>
              </v:shapetype>
              <v:shape id="Text Box 2" o:spid="_x0000_s1026" type="#_x0000_t202" style="position:absolute;margin-left:0;margin-top:333pt;width:439.5pt;height:284.6pt;z-index:251648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" stroked="f">
                <v:textbox>
                  <w:txbxContent>
                    <w:p w14:paraId="43938F79" w14:textId="77777777" w:rsidR="00EE39B4" w:rsidRPr="00B9496E" w:rsidRDefault="00EE39B4" w:rsidP="003864C5">
                      <w:pPr>
                        <w:jc w:val="center"/>
                        <w:rPr>
                          <w:sz w:val="40"/>
                          <w:szCs w:val="40"/>
                        </w:rPr>
                      </w:pPr>
                    </w:p>
                    <w:p w14:paraId="0EF3FACA" w14:textId="77777777" w:rsidR="00EE39B4" w:rsidRPr="00B9496E" w:rsidRDefault="00EE39B4" w:rsidP="003864C5">
                      <w:pPr>
                        <w:jc w:val="center"/>
                        <w:rPr>
                          <w:sz w:val="40"/>
                          <w:szCs w:val="40"/>
                        </w:rPr>
                      </w:pPr>
                      <w:r>
                        <w:rPr>
                          <w:sz w:val="40"/>
                          <w:szCs w:val="40"/>
                        </w:rPr>
                        <w:t>You Have Choices:</w:t>
                      </w:r>
                      <w:r w:rsidRPr="00B9496E">
                        <w:rPr>
                          <w:sz w:val="40"/>
                          <w:szCs w:val="40"/>
                        </w:rPr>
                        <w:t xml:space="preserve"> Choosing a Service Provider </w:t>
                      </w:r>
                      <w:r>
                        <w:rPr>
                          <w:sz w:val="40"/>
                          <w:szCs w:val="40"/>
                        </w:rPr>
                        <w:t xml:space="preserve">– </w:t>
                      </w:r>
                      <w:r w:rsidRPr="00B9496E">
                        <w:rPr>
                          <w:sz w:val="40"/>
                          <w:szCs w:val="40"/>
                        </w:rPr>
                        <w:t>Online</w:t>
                      </w:r>
                      <w:r>
                        <w:rPr>
                          <w:sz w:val="40"/>
                          <w:szCs w:val="40"/>
                        </w:rPr>
                        <w:t xml:space="preserve"> </w:t>
                      </w:r>
                      <w:r w:rsidRPr="00B9496E">
                        <w:rPr>
                          <w:sz w:val="40"/>
                          <w:szCs w:val="40"/>
                        </w:rPr>
                        <w:t>Survey</w:t>
                      </w:r>
                    </w:p>
                    <w:p w14:paraId="2EC417C6" w14:textId="77777777" w:rsidR="00896957" w:rsidRDefault="00896957" w:rsidP="00896957">
                      <w:pPr>
                        <w:jc w:val="center"/>
                        <w:rPr>
                          <w:i/>
                          <w:color w:val="7F7F7F" w:themeColor="text1" w:themeTint="80"/>
                          <w:sz w:val="36"/>
                          <w:szCs w:val="36"/>
                        </w:rPr>
                      </w:pPr>
                      <w:r>
                        <w:rPr>
                          <w:i/>
                          <w:color w:val="7F7F7F" w:themeColor="text1" w:themeTint="80"/>
                          <w:sz w:val="36"/>
                          <w:szCs w:val="36"/>
                        </w:rPr>
                        <w:t>Executive Summary</w:t>
                      </w:r>
                    </w:p>
                    <w:p w14:paraId="3CDDD58D" w14:textId="02CEF06D" w:rsidR="00EE39B4" w:rsidRPr="00546F4D" w:rsidRDefault="00EE39B4" w:rsidP="003864C5">
                      <w:pPr>
                        <w:jc w:val="center"/>
                        <w:rPr>
                          <w:color w:val="7F7F7F" w:themeColor="text1" w:themeTint="80"/>
                          <w:sz w:val="32"/>
                          <w:szCs w:val="32"/>
                        </w:rPr>
                      </w:pPr>
                      <w:r>
                        <w:rPr>
                          <w:color w:val="7F7F7F" w:themeColor="text1" w:themeTint="80"/>
                          <w:sz w:val="32"/>
                          <w:szCs w:val="32"/>
                        </w:rPr>
                        <w:t>Dec</w:t>
                      </w:r>
                      <w:r w:rsidRPr="00546F4D">
                        <w:rPr>
                          <w:color w:val="7F7F7F" w:themeColor="text1" w:themeTint="80"/>
                          <w:sz w:val="32"/>
                          <w:szCs w:val="32"/>
                        </w:rPr>
                        <w:t>ember 2016</w:t>
                      </w:r>
                    </w:p>
                    <w:p w14:paraId="00C3AE9A" w14:textId="77777777" w:rsidR="00EE39B4" w:rsidRDefault="00EE39B4" w:rsidP="003864C5">
                      <w:pPr>
                        <w:spacing w:after="0"/>
                        <w:jc w:val="center"/>
                        <w:rPr>
                          <w:sz w:val="20"/>
                          <w:szCs w:val="20"/>
                          <w:lang w:val="en-CA"/>
                        </w:rPr>
                      </w:pPr>
                      <w:r>
                        <w:rPr>
                          <w:sz w:val="20"/>
                          <w:szCs w:val="20"/>
                          <w:lang w:val="en-CA"/>
                        </w:rPr>
                        <w:t>Prepared for the Canadian Radio-Television and Telecommunications Commission</w:t>
                      </w:r>
                    </w:p>
                    <w:p w14:paraId="6E0DFF5E" w14:textId="77777777" w:rsidR="00EE39B4" w:rsidRPr="00546F4D" w:rsidRDefault="00EE39B4" w:rsidP="003864C5">
                      <w:pPr>
                        <w:spacing w:after="0"/>
                        <w:jc w:val="center"/>
                        <w:rPr>
                          <w:sz w:val="20"/>
                          <w:szCs w:val="20"/>
                          <w:lang w:val="en-CA"/>
                        </w:rPr>
                      </w:pPr>
                      <w:r w:rsidRPr="00546F4D">
                        <w:rPr>
                          <w:sz w:val="20"/>
                          <w:szCs w:val="20"/>
                          <w:lang w:val="en-CA"/>
                        </w:rPr>
                        <w:t xml:space="preserve">Contract Award Date: </w:t>
                      </w:r>
                      <w:r>
                        <w:rPr>
                          <w:sz w:val="20"/>
                          <w:szCs w:val="20"/>
                          <w:lang w:val="en-CA"/>
                        </w:rPr>
                        <w:t>August 18, 2016</w:t>
                      </w:r>
                    </w:p>
                    <w:p w14:paraId="2A0AA68C" w14:textId="77777777" w:rsidR="00EE39B4" w:rsidRPr="00546F4D" w:rsidRDefault="00EE39B4" w:rsidP="003864C5">
                      <w:pPr>
                        <w:spacing w:after="0"/>
                        <w:jc w:val="center"/>
                        <w:rPr>
                          <w:sz w:val="20"/>
                          <w:szCs w:val="20"/>
                          <w:lang w:val="en-CA"/>
                        </w:rPr>
                      </w:pPr>
                      <w:r w:rsidRPr="00546F4D">
                        <w:rPr>
                          <w:sz w:val="20"/>
                          <w:szCs w:val="20"/>
                          <w:lang w:val="en-CA"/>
                        </w:rPr>
                        <w:t xml:space="preserve">Contract #:  </w:t>
                      </w:r>
                      <w:r>
                        <w:rPr>
                          <w:sz w:val="20"/>
                          <w:szCs w:val="20"/>
                          <w:lang w:val="en-CA"/>
                        </w:rPr>
                        <w:t>82082-170119/001/CY</w:t>
                      </w:r>
                    </w:p>
                    <w:p w14:paraId="75A40F5D" w14:textId="77777777" w:rsidR="00EE39B4" w:rsidRPr="00D65058" w:rsidRDefault="00EE39B4" w:rsidP="003864C5">
                      <w:pPr>
                        <w:spacing w:after="0"/>
                        <w:jc w:val="center"/>
                        <w:rPr>
                          <w:sz w:val="20"/>
                          <w:szCs w:val="20"/>
                          <w:lang w:val="en-CA"/>
                        </w:rPr>
                      </w:pPr>
                      <w:r w:rsidRPr="00D65058">
                        <w:rPr>
                          <w:sz w:val="20"/>
                          <w:szCs w:val="20"/>
                          <w:lang w:val="en-CA"/>
                        </w:rPr>
                        <w:t>POR Number: POR 034-16</w:t>
                      </w:r>
                    </w:p>
                    <w:p w14:paraId="20E83AA1" w14:textId="60951FCD" w:rsidR="00EE39B4" w:rsidRPr="00D65058" w:rsidRDefault="00EE39B4" w:rsidP="003864C5">
                      <w:pPr>
                        <w:spacing w:after="0"/>
                        <w:jc w:val="center"/>
                        <w:rPr>
                          <w:sz w:val="20"/>
                          <w:szCs w:val="20"/>
                          <w:lang w:val="en-CA"/>
                        </w:rPr>
                      </w:pPr>
                      <w:r w:rsidRPr="00D65058">
                        <w:rPr>
                          <w:sz w:val="20"/>
                          <w:szCs w:val="20"/>
                          <w:lang w:val="en-CA"/>
                        </w:rPr>
                        <w:t>Department Contact: communications@crtc.gc.ca</w:t>
                      </w:r>
                      <w:hyperlink r:id="rId9" w:history="1"/>
                    </w:p>
                    <w:p w14:paraId="081DECC9" w14:textId="77777777" w:rsidR="00EE39B4" w:rsidRPr="003864C5" w:rsidRDefault="00EE39B4" w:rsidP="003864C5">
                      <w:pPr>
                        <w:spacing w:after="0"/>
                        <w:jc w:val="center"/>
                        <w:rPr>
                          <w:i/>
                          <w:sz w:val="14"/>
                          <w:szCs w:val="14"/>
                          <w:lang w:val="fr-CA"/>
                        </w:rPr>
                      </w:pPr>
                      <w:r w:rsidRPr="003864C5">
                        <w:rPr>
                          <w:i/>
                          <w:sz w:val="20"/>
                          <w:szCs w:val="20"/>
                          <w:lang w:val="fr-CA"/>
                        </w:rPr>
                        <w:t>Ce rapport est aussi disponible en français.</w:t>
                      </w:r>
                    </w:p>
                    <w:p w14:paraId="56758B94" w14:textId="1D4525B1" w:rsidR="00EE39B4" w:rsidRPr="003864C5" w:rsidRDefault="00EE39B4" w:rsidP="003864C5">
                      <w:pPr>
                        <w:spacing w:after="0"/>
                        <w:jc w:val="center"/>
                        <w:rPr>
                          <w:sz w:val="14"/>
                          <w:szCs w:val="14"/>
                          <w:lang w:val="fr-CA"/>
                        </w:rPr>
                      </w:pPr>
                    </w:p>
                  </w:txbxContent>
                </v:textbox>
                <w10:wrap anchorx="margin"/>
              </v:shape>
            </w:pict>
          </mc:Fallback>
        </mc:AlternateContent>
      </w:r>
      <w:r>
        <w:rPr>
          <w:noProof/>
          <w:lang w:val="en-CA" w:eastAsia="en-CA"/>
        </w:rPr>
        <w:drawing>
          <wp:anchor distT="0" distB="0" distL="114300" distR="114300" simplePos="0" relativeHeight="251687424" behindDoc="1" locked="0" layoutInCell="1" allowOverlap="1" wp14:anchorId="3A9DF2FE" wp14:editId="5E96D3E4">
            <wp:simplePos x="0" y="0"/>
            <wp:positionH relativeFrom="page">
              <wp:align>left</wp:align>
            </wp:positionH>
            <wp:positionV relativeFrom="paragraph">
              <wp:posOffset>-914400</wp:posOffset>
            </wp:positionV>
            <wp:extent cx="7790364" cy="1008169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slide-word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90364" cy="10081696"/>
                    </a:xfrm>
                    <a:prstGeom prst="rect">
                      <a:avLst/>
                    </a:prstGeom>
                  </pic:spPr>
                </pic:pic>
              </a:graphicData>
            </a:graphic>
            <wp14:sizeRelH relativeFrom="page">
              <wp14:pctWidth>0</wp14:pctWidth>
            </wp14:sizeRelH>
            <wp14:sizeRelV relativeFrom="page">
              <wp14:pctHeight>0</wp14:pctHeight>
            </wp14:sizeRelV>
          </wp:anchor>
        </w:drawing>
      </w:r>
      <w:r w:rsidR="00CF389F">
        <w:br w:type="page"/>
      </w:r>
    </w:p>
    <w:p w14:paraId="13B4705A" w14:textId="77777777" w:rsidR="00546F4D" w:rsidRDefault="00546F4D" w:rsidP="00546F4D">
      <w:pPr>
        <w:pStyle w:val="Heading1"/>
        <w:rPr>
          <w:lang w:val="en-CA"/>
        </w:rPr>
      </w:pPr>
      <w:bookmarkStart w:id="0" w:name="_Toc468310772"/>
      <w:r>
        <w:rPr>
          <w:lang w:val="en-CA"/>
        </w:rPr>
        <w:lastRenderedPageBreak/>
        <w:t>Political Neutrality Certification</w:t>
      </w:r>
      <w:bookmarkEnd w:id="0"/>
    </w:p>
    <w:p w14:paraId="0C46E678" w14:textId="77777777" w:rsidR="00546F4D" w:rsidRDefault="00546F4D" w:rsidP="00546F4D">
      <w:pPr>
        <w:rPr>
          <w:lang w:val="en-CA"/>
        </w:rPr>
      </w:pPr>
    </w:p>
    <w:p w14:paraId="17043ECC" w14:textId="77777777" w:rsidR="00546F4D" w:rsidRPr="00546F4D" w:rsidRDefault="00546F4D" w:rsidP="00546F4D">
      <w:pPr>
        <w:rPr>
          <w:lang w:val="en-CA"/>
        </w:rPr>
      </w:pPr>
      <w:r w:rsidRPr="00546F4D">
        <w:rPr>
          <w:lang w:val="en-CA"/>
        </w:rPr>
        <w:t xml:space="preserve">I hereby certify as Senior Officer of Quorus Consulting Group Inc. that the deliverables fully comply with the Government of Canada political neutrality requirements outlined in the Communications Policy of the Government of Canada and Procedures for Planning and Contracting Public Opinion Research. </w:t>
      </w:r>
    </w:p>
    <w:p w14:paraId="18E9CA3D" w14:textId="77777777" w:rsidR="00546F4D" w:rsidRPr="00546F4D" w:rsidRDefault="00546F4D" w:rsidP="00546F4D">
      <w:pPr>
        <w:rPr>
          <w:lang w:val="en-CA"/>
        </w:rPr>
      </w:pPr>
      <w:r w:rsidRPr="00546F4D">
        <w:rPr>
          <w:lang w:val="en-CA"/>
        </w:rPr>
        <w:t>Specifically, the deliverables do not</w:t>
      </w:r>
      <w:bookmarkStart w:id="1" w:name="_GoBack"/>
      <w:bookmarkEnd w:id="1"/>
      <w:r w:rsidRPr="00546F4D">
        <w:rPr>
          <w:lang w:val="en-CA"/>
        </w:rPr>
        <w:t xml:space="preserve"> include information on electoral voting intentions, political party preferences, standings with the electorate or ratings of the performance of a political party or its leaders.</w:t>
      </w:r>
    </w:p>
    <w:p w14:paraId="5C004D7E" w14:textId="77777777" w:rsidR="00546F4D" w:rsidRPr="00546F4D" w:rsidRDefault="00546F4D" w:rsidP="00546F4D">
      <w:pPr>
        <w:rPr>
          <w:lang w:val="en-CA"/>
        </w:rPr>
      </w:pPr>
      <w:r w:rsidRPr="00546F4D">
        <w:rPr>
          <w:lang w:val="en-CA"/>
        </w:rPr>
        <w:br/>
        <w:t>Signed:</w:t>
      </w:r>
    </w:p>
    <w:p w14:paraId="12A9B19E" w14:textId="77777777" w:rsidR="00546F4D" w:rsidRDefault="00546F4D" w:rsidP="00546F4D">
      <w:pPr>
        <w:rPr>
          <w:lang w:val="en-CA"/>
        </w:rPr>
      </w:pPr>
      <w:r w:rsidRPr="00546F4D">
        <w:rPr>
          <w:lang w:val="en-CA"/>
        </w:rPr>
        <w:tab/>
      </w:r>
      <w:r>
        <w:rPr>
          <w:noProof/>
          <w:lang w:val="en-CA" w:eastAsia="en-CA"/>
        </w:rPr>
        <w:drawing>
          <wp:inline distT="0" distB="0" distL="0" distR="0" wp14:anchorId="4BAC1A7D" wp14:editId="24810D52">
            <wp:extent cx="2556664" cy="87188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ks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3415" cy="877601"/>
                    </a:xfrm>
                    <a:prstGeom prst="rect">
                      <a:avLst/>
                    </a:prstGeom>
                  </pic:spPr>
                </pic:pic>
              </a:graphicData>
            </a:graphic>
          </wp:inline>
        </w:drawing>
      </w:r>
    </w:p>
    <w:p w14:paraId="130FC1E2" w14:textId="77777777" w:rsidR="00546F4D" w:rsidRPr="00546F4D" w:rsidRDefault="00546F4D" w:rsidP="00546F4D">
      <w:pPr>
        <w:ind w:firstLine="720"/>
        <w:rPr>
          <w:lang w:val="en-CA"/>
        </w:rPr>
      </w:pPr>
      <w:r w:rsidRPr="00546F4D">
        <w:rPr>
          <w:lang w:val="en-CA"/>
        </w:rPr>
        <w:t>Rick Nadeau, President</w:t>
      </w:r>
    </w:p>
    <w:p w14:paraId="5E8DB984" w14:textId="77777777" w:rsidR="00546F4D" w:rsidRPr="00546F4D" w:rsidRDefault="00546F4D" w:rsidP="00546F4D">
      <w:pPr>
        <w:rPr>
          <w:lang w:val="en-CA"/>
        </w:rPr>
      </w:pPr>
      <w:r w:rsidRPr="00546F4D">
        <w:rPr>
          <w:lang w:val="en-CA"/>
        </w:rPr>
        <w:tab/>
        <w:t>Quorus Consulting Group Inc.</w:t>
      </w:r>
    </w:p>
    <w:p w14:paraId="7E12E28D" w14:textId="77777777" w:rsidR="00546F4D" w:rsidRPr="00546F4D" w:rsidRDefault="00546F4D">
      <w:pPr>
        <w:rPr>
          <w:lang w:val="en-CA"/>
        </w:rPr>
      </w:pPr>
    </w:p>
    <w:p w14:paraId="358A471D" w14:textId="77777777" w:rsidR="00546F4D" w:rsidRDefault="00546F4D"/>
    <w:p w14:paraId="14D7022C" w14:textId="77777777" w:rsidR="00546F4D" w:rsidRDefault="00546F4D"/>
    <w:p w14:paraId="177B1546" w14:textId="77777777" w:rsidR="00CF389F" w:rsidRDefault="00CF389F">
      <w:r>
        <w:br w:type="page"/>
      </w:r>
    </w:p>
    <w:p w14:paraId="00C7D8E9" w14:textId="77777777" w:rsidR="00BD45AB" w:rsidRDefault="00BD45AB" w:rsidP="00BD45AB">
      <w:pPr>
        <w:pStyle w:val="Heading1"/>
        <w:rPr>
          <w:lang w:val="en-CA"/>
        </w:rPr>
      </w:pPr>
      <w:bookmarkStart w:id="2" w:name="_Toc468310773"/>
      <w:r>
        <w:rPr>
          <w:lang w:val="en-CA"/>
        </w:rPr>
        <w:lastRenderedPageBreak/>
        <w:t>Executive Summary</w:t>
      </w:r>
      <w:bookmarkEnd w:id="2"/>
    </w:p>
    <w:p w14:paraId="0DD90976" w14:textId="77777777" w:rsidR="00BD45AB" w:rsidRDefault="00BD45AB" w:rsidP="00BD45AB">
      <w:pPr>
        <w:rPr>
          <w:lang w:val="en-CA"/>
        </w:rPr>
      </w:pPr>
    </w:p>
    <w:p w14:paraId="5A4CAACA" w14:textId="77777777" w:rsidR="00BD45AB" w:rsidRDefault="00BD45AB" w:rsidP="00BD45AB">
      <w:pPr>
        <w:pStyle w:val="Heading2"/>
        <w:rPr>
          <w:lang w:val="en-CA"/>
        </w:rPr>
      </w:pPr>
      <w:bookmarkStart w:id="3" w:name="_Toc468310774"/>
      <w:r>
        <w:rPr>
          <w:lang w:val="en-CA"/>
        </w:rPr>
        <w:t>Research Purpose and Objectives</w:t>
      </w:r>
      <w:bookmarkEnd w:id="3"/>
    </w:p>
    <w:p w14:paraId="4A40F231" w14:textId="77777777" w:rsidR="00BD45AB" w:rsidRPr="00BF7D42" w:rsidRDefault="00BD45AB" w:rsidP="00BD45AB">
      <w:pPr>
        <w:spacing w:before="240"/>
        <w:jc w:val="both"/>
        <w:rPr>
          <w:lang w:val="en-CA"/>
        </w:rPr>
      </w:pPr>
      <w:r w:rsidRPr="00BF7D42">
        <w:rPr>
          <w:lang w:val="en-CA"/>
        </w:rPr>
        <w:t xml:space="preserve">The Canadian Radio-television and Telecommunications Commission (CRTC) commissioned Quorus Consulting Group (Quorus) to conduct a survey to </w:t>
      </w:r>
      <w:r>
        <w:rPr>
          <w:lang w:val="en-CA"/>
        </w:rPr>
        <w:t xml:space="preserve">better understand the triggers, resources and types of information relevant to Canadians as they switch, subscribe or consider a telecommunications, Internet or television service provider.  These insights will help the CRTC </w:t>
      </w:r>
      <w:r w:rsidRPr="00BF7D42">
        <w:rPr>
          <w:lang w:val="en-CA"/>
        </w:rPr>
        <w:t xml:space="preserve">redesign an existing online tool called </w:t>
      </w:r>
      <w:r w:rsidRPr="00BF7D42">
        <w:rPr>
          <w:i/>
          <w:lang w:val="en-CA"/>
        </w:rPr>
        <w:t>Service Providers Near Me</w:t>
      </w:r>
      <w:r w:rsidRPr="00BF7D42">
        <w:rPr>
          <w:lang w:val="en-CA"/>
        </w:rPr>
        <w:t xml:space="preserve">. </w:t>
      </w:r>
    </w:p>
    <w:p w14:paraId="38982C0D" w14:textId="77777777" w:rsidR="00BD45AB" w:rsidRPr="00BF7D42" w:rsidRDefault="00BD45AB" w:rsidP="00BD45AB">
      <w:pPr>
        <w:jc w:val="both"/>
        <w:rPr>
          <w:rFonts w:cs="Arial"/>
          <w:lang w:val="en-CA"/>
        </w:rPr>
      </w:pPr>
      <w:r w:rsidRPr="00BF7D42">
        <w:rPr>
          <w:rFonts w:cs="Arial"/>
          <w:lang w:val="en-CA"/>
        </w:rPr>
        <w:t>Specifically, the objectives of this project are to:</w:t>
      </w:r>
    </w:p>
    <w:p w14:paraId="40DEB7EE" w14:textId="3C3F27B9" w:rsidR="00BD45AB" w:rsidRPr="00BF7D42" w:rsidRDefault="00BD45AB" w:rsidP="00BD45AB">
      <w:pPr>
        <w:pStyle w:val="ListParagraph"/>
        <w:numPr>
          <w:ilvl w:val="0"/>
          <w:numId w:val="1"/>
        </w:numPr>
        <w:jc w:val="both"/>
        <w:rPr>
          <w:rFonts w:cs="Arial"/>
          <w:lang w:val="en-CA"/>
        </w:rPr>
      </w:pPr>
      <w:r w:rsidRPr="00BF7D42">
        <w:rPr>
          <w:rFonts w:cs="Arial"/>
          <w:lang w:val="en-CA"/>
        </w:rPr>
        <w:t xml:space="preserve">Identify the </w:t>
      </w:r>
      <w:r w:rsidR="000F62F7">
        <w:rPr>
          <w:rFonts w:cs="Arial"/>
          <w:lang w:val="en-CA"/>
        </w:rPr>
        <w:t>frequency</w:t>
      </w:r>
      <w:r>
        <w:rPr>
          <w:rFonts w:cs="Arial"/>
          <w:lang w:val="en-CA"/>
        </w:rPr>
        <w:t xml:space="preserve"> and the triggers that explain why Canadians would switch service providers</w:t>
      </w:r>
      <w:r w:rsidRPr="00BF7D42">
        <w:rPr>
          <w:rFonts w:cs="Arial"/>
          <w:lang w:val="en-CA"/>
        </w:rPr>
        <w:t>;</w:t>
      </w:r>
    </w:p>
    <w:p w14:paraId="3B42EAB2" w14:textId="77777777" w:rsidR="00BD45AB" w:rsidRPr="00BF7D42" w:rsidRDefault="00BD45AB" w:rsidP="00BD45AB">
      <w:pPr>
        <w:pStyle w:val="ListParagraph"/>
        <w:numPr>
          <w:ilvl w:val="0"/>
          <w:numId w:val="1"/>
        </w:numPr>
        <w:jc w:val="both"/>
        <w:rPr>
          <w:rFonts w:cs="Arial"/>
          <w:lang w:val="en-CA"/>
        </w:rPr>
      </w:pPr>
      <w:r w:rsidRPr="00BF7D42">
        <w:rPr>
          <w:rFonts w:cs="Arial"/>
          <w:lang w:val="en-CA"/>
        </w:rPr>
        <w:t xml:space="preserve">Identify the influencers and </w:t>
      </w:r>
      <w:r>
        <w:rPr>
          <w:rFonts w:cs="Arial"/>
          <w:lang w:val="en-CA"/>
        </w:rPr>
        <w:t xml:space="preserve">broader </w:t>
      </w:r>
      <w:r w:rsidRPr="00BF7D42">
        <w:rPr>
          <w:rFonts w:cs="Arial"/>
          <w:lang w:val="en-CA"/>
        </w:rPr>
        <w:t xml:space="preserve">reasons </w:t>
      </w:r>
      <w:r>
        <w:rPr>
          <w:rFonts w:cs="Arial"/>
          <w:lang w:val="en-CA"/>
        </w:rPr>
        <w:t>behind</w:t>
      </w:r>
      <w:r w:rsidRPr="00BF7D42">
        <w:rPr>
          <w:rFonts w:cs="Arial"/>
          <w:lang w:val="en-CA"/>
        </w:rPr>
        <w:t xml:space="preserve"> switching;</w:t>
      </w:r>
    </w:p>
    <w:p w14:paraId="11328236" w14:textId="77777777" w:rsidR="00BD45AB" w:rsidRPr="00BF7D42" w:rsidRDefault="00BD45AB" w:rsidP="00BD45AB">
      <w:pPr>
        <w:pStyle w:val="ListParagraph"/>
        <w:numPr>
          <w:ilvl w:val="0"/>
          <w:numId w:val="1"/>
        </w:numPr>
        <w:jc w:val="both"/>
        <w:rPr>
          <w:rFonts w:cs="Arial"/>
          <w:lang w:val="en-CA"/>
        </w:rPr>
      </w:pPr>
      <w:r w:rsidRPr="00BF7D42">
        <w:rPr>
          <w:rFonts w:cs="Arial"/>
          <w:lang w:val="en-CA"/>
        </w:rPr>
        <w:t>Identify how they choose between providers; and</w:t>
      </w:r>
    </w:p>
    <w:p w14:paraId="59BA1966" w14:textId="77777777" w:rsidR="00BD45AB" w:rsidRPr="00BF7D42" w:rsidRDefault="00BD45AB" w:rsidP="00BD45AB">
      <w:pPr>
        <w:pStyle w:val="ListParagraph"/>
        <w:numPr>
          <w:ilvl w:val="0"/>
          <w:numId w:val="1"/>
        </w:numPr>
        <w:jc w:val="both"/>
        <w:rPr>
          <w:rFonts w:cs="Arial"/>
          <w:lang w:val="en-CA"/>
        </w:rPr>
      </w:pPr>
      <w:r w:rsidRPr="00BF7D42">
        <w:rPr>
          <w:rFonts w:cs="Arial"/>
          <w:lang w:val="en-CA"/>
        </w:rPr>
        <w:t>Group the above information into logical audience personas that will be used to create user goals, user tasks and use case scenarios.</w:t>
      </w:r>
    </w:p>
    <w:p w14:paraId="536D3858" w14:textId="77777777" w:rsidR="00BD45AB" w:rsidRDefault="00BD45AB" w:rsidP="00BD45AB">
      <w:pPr>
        <w:pStyle w:val="Heading2"/>
        <w:rPr>
          <w:lang w:val="en-CA"/>
        </w:rPr>
      </w:pPr>
      <w:bookmarkStart w:id="4" w:name="_Toc468310775"/>
      <w:r>
        <w:rPr>
          <w:lang w:val="en-CA"/>
        </w:rPr>
        <w:t>Summary of Findings</w:t>
      </w:r>
      <w:bookmarkEnd w:id="4"/>
    </w:p>
    <w:p w14:paraId="20175D17" w14:textId="583607CB" w:rsidR="00BD45AB" w:rsidRDefault="00BD45AB" w:rsidP="00BD45AB">
      <w:pPr>
        <w:spacing w:before="240"/>
        <w:jc w:val="both"/>
        <w:rPr>
          <w:lang w:val="en-CA"/>
        </w:rPr>
      </w:pPr>
      <w:r>
        <w:rPr>
          <w:lang w:val="en-CA"/>
        </w:rPr>
        <w:t xml:space="preserve">Behaviours towards communication service providers were explored on a per service basis, given that respondents may not subscribe to all services and attitudes </w:t>
      </w:r>
      <w:r w:rsidR="0013661F">
        <w:rPr>
          <w:lang w:val="en-CA"/>
        </w:rPr>
        <w:t xml:space="preserve">could </w:t>
      </w:r>
      <w:r>
        <w:rPr>
          <w:lang w:val="en-CA"/>
        </w:rPr>
        <w:t xml:space="preserve">also differ depending on the service. Therefore, results are herein organized by each of the communication services used. </w:t>
      </w:r>
    </w:p>
    <w:p w14:paraId="1F7AFFD7" w14:textId="77777777" w:rsidR="00B42E33" w:rsidRDefault="00B42E33" w:rsidP="00BD45AB">
      <w:pPr>
        <w:pStyle w:val="Heading3"/>
        <w:rPr>
          <w:lang w:val="en-CA"/>
        </w:rPr>
      </w:pPr>
    </w:p>
    <w:p w14:paraId="3B5AFC05" w14:textId="77777777" w:rsidR="00BD45AB" w:rsidRDefault="00BD45AB" w:rsidP="00BD45AB">
      <w:pPr>
        <w:pStyle w:val="Heading3"/>
        <w:rPr>
          <w:lang w:val="en-CA"/>
        </w:rPr>
      </w:pPr>
      <w:bookmarkStart w:id="5" w:name="_Toc468310776"/>
      <w:r>
        <w:rPr>
          <w:lang w:val="en-CA"/>
        </w:rPr>
        <w:t>Over-the-Air Television (OTA TV)</w:t>
      </w:r>
      <w:bookmarkEnd w:id="5"/>
    </w:p>
    <w:p w14:paraId="2C831C4A" w14:textId="01724CE7" w:rsidR="00BD45AB" w:rsidRDefault="00BD45AB" w:rsidP="00BD45AB">
      <w:pPr>
        <w:jc w:val="both"/>
        <w:rPr>
          <w:lang w:val="en-CA"/>
        </w:rPr>
      </w:pPr>
      <w:r>
        <w:rPr>
          <w:lang w:val="en-CA"/>
        </w:rPr>
        <w:t xml:space="preserve">Half of Canadians are aware of whether or not OTA TV is an option in their area, with most claiming that it is available. The remaining half of Canadians don’t know if it is available in their area.  </w:t>
      </w:r>
    </w:p>
    <w:p w14:paraId="46538948" w14:textId="0DC674B0" w:rsidR="0013661F" w:rsidRDefault="00BD45AB" w:rsidP="00BD45AB">
      <w:pPr>
        <w:jc w:val="both"/>
        <w:rPr>
          <w:lang w:val="en-CA"/>
        </w:rPr>
      </w:pPr>
      <w:r>
        <w:rPr>
          <w:lang w:val="en-CA"/>
        </w:rPr>
        <w:t xml:space="preserve">Over half of those aware of OTA TV have seriously looked into accessing free TV channels for their home, mainly using Google or other search engines. A few would use the CRTC website or web sites from television service providers. The information sought includes the number of channels available, the equipment needed, specific channels available or if OTA TV is accessible in their area. </w:t>
      </w:r>
    </w:p>
    <w:p w14:paraId="4CB59327" w14:textId="77777777" w:rsidR="00B42E33" w:rsidRDefault="00B42E33" w:rsidP="00BD45AB">
      <w:pPr>
        <w:pStyle w:val="Heading3"/>
        <w:rPr>
          <w:lang w:val="en-CA"/>
        </w:rPr>
      </w:pPr>
    </w:p>
    <w:p w14:paraId="23907173" w14:textId="77777777" w:rsidR="00BD45AB" w:rsidRDefault="00BD45AB" w:rsidP="00BD45AB">
      <w:pPr>
        <w:pStyle w:val="Heading3"/>
        <w:rPr>
          <w:lang w:val="en-CA"/>
        </w:rPr>
      </w:pPr>
      <w:bookmarkStart w:id="6" w:name="_Toc468310777"/>
      <w:r>
        <w:rPr>
          <w:lang w:val="en-CA"/>
        </w:rPr>
        <w:t>Defining User Segments</w:t>
      </w:r>
      <w:bookmarkEnd w:id="6"/>
    </w:p>
    <w:p w14:paraId="775D0E88" w14:textId="77777777" w:rsidR="00BD45AB" w:rsidRDefault="00BD45AB" w:rsidP="00BD45AB">
      <w:pPr>
        <w:rPr>
          <w:lang w:val="en-CA"/>
        </w:rPr>
      </w:pPr>
      <w:r>
        <w:rPr>
          <w:lang w:val="en-CA"/>
        </w:rPr>
        <w:t xml:space="preserve">For each of the four main services explored in this study, survey respondents were classified depending on their sign-up or switching intentions or based on their switching behaviour during the last year. The user segments are defined as follows: </w:t>
      </w:r>
    </w:p>
    <w:p w14:paraId="48037BBB" w14:textId="77777777" w:rsidR="00BD45AB" w:rsidRDefault="00BD45AB" w:rsidP="00BD45AB">
      <w:pPr>
        <w:pStyle w:val="ListParagraph"/>
        <w:numPr>
          <w:ilvl w:val="0"/>
          <w:numId w:val="37"/>
        </w:numPr>
        <w:rPr>
          <w:lang w:val="en-CA"/>
        </w:rPr>
      </w:pPr>
      <w:r w:rsidRPr="00645B0C">
        <w:rPr>
          <w:i/>
          <w:lang w:val="en-CA"/>
        </w:rPr>
        <w:t>Intenders</w:t>
      </w:r>
      <w:r w:rsidRPr="00395677">
        <w:rPr>
          <w:i/>
          <w:lang w:val="en-CA"/>
        </w:rPr>
        <w:t>:</w:t>
      </w:r>
      <w:r>
        <w:rPr>
          <w:lang w:val="en-CA"/>
        </w:rPr>
        <w:t xml:space="preserve"> Not subscribed to the service today but </w:t>
      </w:r>
      <w:r w:rsidRPr="008A6870">
        <w:rPr>
          <w:lang w:val="en-CA"/>
        </w:rPr>
        <w:t>inten</w:t>
      </w:r>
      <w:r>
        <w:rPr>
          <w:lang w:val="en-CA"/>
        </w:rPr>
        <w:t>d</w:t>
      </w:r>
      <w:r w:rsidRPr="00645B0C">
        <w:rPr>
          <w:lang w:val="en-CA"/>
        </w:rPr>
        <w:t xml:space="preserve"> to subscribe within the next 6 months. </w:t>
      </w:r>
    </w:p>
    <w:p w14:paraId="48AE8661" w14:textId="77777777" w:rsidR="00BD45AB" w:rsidRDefault="00BD45AB" w:rsidP="00BD45AB">
      <w:pPr>
        <w:pStyle w:val="ListParagraph"/>
        <w:numPr>
          <w:ilvl w:val="0"/>
          <w:numId w:val="37"/>
        </w:numPr>
        <w:rPr>
          <w:lang w:val="en-CA"/>
        </w:rPr>
      </w:pPr>
      <w:r>
        <w:rPr>
          <w:i/>
          <w:lang w:val="en-CA"/>
        </w:rPr>
        <w:lastRenderedPageBreak/>
        <w:t>Considerers:</w:t>
      </w:r>
      <w:r>
        <w:rPr>
          <w:lang w:val="en-CA"/>
        </w:rPr>
        <w:t xml:space="preserve">  Have a service today and have c</w:t>
      </w:r>
      <w:r w:rsidRPr="00645B0C">
        <w:rPr>
          <w:lang w:val="en-CA"/>
        </w:rPr>
        <w:t>onsidered switching service providers within the last year</w:t>
      </w:r>
      <w:r>
        <w:rPr>
          <w:lang w:val="en-CA"/>
        </w:rPr>
        <w:t>.</w:t>
      </w:r>
      <w:r w:rsidRPr="00645B0C">
        <w:rPr>
          <w:lang w:val="en-CA"/>
        </w:rPr>
        <w:t xml:space="preserve"> </w:t>
      </w:r>
    </w:p>
    <w:p w14:paraId="6A662215" w14:textId="77777777" w:rsidR="00BD45AB" w:rsidRDefault="00BD45AB" w:rsidP="00BD45AB">
      <w:pPr>
        <w:pStyle w:val="ListParagraph"/>
        <w:numPr>
          <w:ilvl w:val="0"/>
          <w:numId w:val="37"/>
        </w:numPr>
        <w:rPr>
          <w:lang w:val="en-CA"/>
        </w:rPr>
      </w:pPr>
      <w:r>
        <w:rPr>
          <w:i/>
          <w:lang w:val="en-CA"/>
        </w:rPr>
        <w:t>New Subscribers:</w:t>
      </w:r>
      <w:r>
        <w:rPr>
          <w:lang w:val="en-CA"/>
        </w:rPr>
        <w:t xml:space="preserve">  Have a service today but signed up for the first time within the past year.  </w:t>
      </w:r>
    </w:p>
    <w:p w14:paraId="6B368094" w14:textId="77777777" w:rsidR="00BD45AB" w:rsidRDefault="00BD45AB" w:rsidP="00BD45AB">
      <w:pPr>
        <w:pStyle w:val="ListParagraph"/>
        <w:numPr>
          <w:ilvl w:val="0"/>
          <w:numId w:val="37"/>
        </w:numPr>
        <w:rPr>
          <w:lang w:val="en-CA"/>
        </w:rPr>
      </w:pPr>
      <w:r>
        <w:rPr>
          <w:i/>
          <w:lang w:val="en-CA"/>
        </w:rPr>
        <w:t>Switchers:</w:t>
      </w:r>
      <w:r>
        <w:rPr>
          <w:lang w:val="en-CA"/>
        </w:rPr>
        <w:t xml:space="preserve">  Have a service today and </w:t>
      </w:r>
      <w:r w:rsidRPr="00645B0C">
        <w:rPr>
          <w:lang w:val="en-CA"/>
        </w:rPr>
        <w:t>switched service providers</w:t>
      </w:r>
      <w:r>
        <w:rPr>
          <w:lang w:val="en-CA"/>
        </w:rPr>
        <w:t xml:space="preserve"> within the past year.</w:t>
      </w:r>
    </w:p>
    <w:p w14:paraId="24EF9EC2" w14:textId="77777777" w:rsidR="00BD45AB" w:rsidRDefault="00BD45AB" w:rsidP="00BD45AB">
      <w:pPr>
        <w:pStyle w:val="ListParagraph"/>
        <w:numPr>
          <w:ilvl w:val="0"/>
          <w:numId w:val="37"/>
        </w:numPr>
        <w:rPr>
          <w:lang w:val="en-CA"/>
        </w:rPr>
      </w:pPr>
      <w:r>
        <w:rPr>
          <w:i/>
          <w:lang w:val="en-CA"/>
        </w:rPr>
        <w:t>Status Quo:</w:t>
      </w:r>
      <w:r>
        <w:rPr>
          <w:lang w:val="en-CA"/>
        </w:rPr>
        <w:t xml:space="preserve">  Have </w:t>
      </w:r>
      <w:r w:rsidRPr="00645B0C">
        <w:rPr>
          <w:lang w:val="en-CA"/>
        </w:rPr>
        <w:t>been with their current service provider for over a year and have not considered switching.</w:t>
      </w:r>
    </w:p>
    <w:p w14:paraId="17AA4F06" w14:textId="77777777" w:rsidR="00BD45AB" w:rsidRPr="00395677" w:rsidRDefault="00BD45AB" w:rsidP="00BD45AB">
      <w:pPr>
        <w:pStyle w:val="ListParagraph"/>
        <w:numPr>
          <w:ilvl w:val="0"/>
          <w:numId w:val="37"/>
        </w:numPr>
        <w:rPr>
          <w:i/>
          <w:lang w:val="en-CA"/>
        </w:rPr>
      </w:pPr>
      <w:r w:rsidRPr="00645B0C">
        <w:rPr>
          <w:i/>
          <w:lang w:val="en-CA"/>
        </w:rPr>
        <w:t>Non-</w:t>
      </w:r>
      <w:r w:rsidRPr="00395677">
        <w:rPr>
          <w:i/>
          <w:lang w:val="en-CA"/>
        </w:rPr>
        <w:t xml:space="preserve">subscribers:  </w:t>
      </w:r>
      <w:r>
        <w:rPr>
          <w:lang w:val="en-CA"/>
        </w:rPr>
        <w:t>Do not subscribe to the service today and have no intention of doing so within the next 6 months.</w:t>
      </w:r>
    </w:p>
    <w:p w14:paraId="6CDB13E9" w14:textId="77777777" w:rsidR="00B42E33" w:rsidRDefault="00B42E33" w:rsidP="00BD45AB">
      <w:pPr>
        <w:pStyle w:val="Heading3"/>
        <w:rPr>
          <w:lang w:val="en-CA"/>
        </w:rPr>
      </w:pPr>
    </w:p>
    <w:p w14:paraId="7BA644C9" w14:textId="77777777" w:rsidR="00BD45AB" w:rsidRDefault="00BD45AB" w:rsidP="00BD45AB">
      <w:pPr>
        <w:pStyle w:val="Heading3"/>
        <w:rPr>
          <w:lang w:val="en-CA"/>
        </w:rPr>
      </w:pPr>
      <w:bookmarkStart w:id="7" w:name="_Toc468310778"/>
      <w:r>
        <w:rPr>
          <w:lang w:val="en-CA"/>
        </w:rPr>
        <w:t>Paid Television Services</w:t>
      </w:r>
      <w:bookmarkEnd w:id="7"/>
    </w:p>
    <w:p w14:paraId="34A9C849" w14:textId="77777777" w:rsidR="00BD45AB" w:rsidRDefault="00BD45AB" w:rsidP="00BD45AB">
      <w:pPr>
        <w:jc w:val="both"/>
        <w:rPr>
          <w:lang w:val="en-CA"/>
        </w:rPr>
      </w:pPr>
      <w:r>
        <w:rPr>
          <w:lang w:val="en-CA"/>
        </w:rPr>
        <w:t xml:space="preserve">The largest user segment when it comes to paid television services is the </w:t>
      </w:r>
      <w:r>
        <w:rPr>
          <w:i/>
          <w:lang w:val="en-CA"/>
        </w:rPr>
        <w:t xml:space="preserve">Status Quo </w:t>
      </w:r>
      <w:r>
        <w:rPr>
          <w:lang w:val="en-CA"/>
        </w:rPr>
        <w:t xml:space="preserve">segment (roughly one-third), followed by </w:t>
      </w:r>
      <w:r w:rsidRPr="00645B0C">
        <w:rPr>
          <w:i/>
          <w:lang w:val="en-CA"/>
        </w:rPr>
        <w:t>Considerers</w:t>
      </w:r>
      <w:r>
        <w:rPr>
          <w:lang w:val="en-CA"/>
        </w:rPr>
        <w:t xml:space="preserve"> and </w:t>
      </w:r>
      <w:r>
        <w:rPr>
          <w:i/>
          <w:lang w:val="en-CA"/>
        </w:rPr>
        <w:t xml:space="preserve">Non-Subscribers </w:t>
      </w:r>
      <w:r>
        <w:rPr>
          <w:lang w:val="en-CA"/>
        </w:rPr>
        <w:t xml:space="preserve">(roughly one out of five respondents in each segment). Fewer than 10% fall into each of the </w:t>
      </w:r>
      <w:r>
        <w:rPr>
          <w:i/>
          <w:lang w:val="en-CA"/>
        </w:rPr>
        <w:t xml:space="preserve">Intender, Switcher </w:t>
      </w:r>
      <w:r w:rsidRPr="00395677">
        <w:rPr>
          <w:lang w:val="en-CA"/>
        </w:rPr>
        <w:t>and</w:t>
      </w:r>
      <w:r>
        <w:rPr>
          <w:i/>
          <w:lang w:val="en-CA"/>
        </w:rPr>
        <w:t xml:space="preserve"> New Subscriber </w:t>
      </w:r>
      <w:r w:rsidRPr="00395677">
        <w:rPr>
          <w:lang w:val="en-CA"/>
        </w:rPr>
        <w:t>segments</w:t>
      </w:r>
      <w:r>
        <w:rPr>
          <w:lang w:val="en-CA"/>
        </w:rPr>
        <w:t>.</w:t>
      </w:r>
    </w:p>
    <w:p w14:paraId="70755655" w14:textId="77777777" w:rsidR="00BD45AB" w:rsidRDefault="00BD45AB" w:rsidP="00BD45AB">
      <w:pPr>
        <w:jc w:val="both"/>
        <w:rPr>
          <w:lang w:val="en-CA"/>
        </w:rPr>
      </w:pPr>
      <w:r>
        <w:rPr>
          <w:lang w:val="en-CA"/>
        </w:rPr>
        <w:t xml:space="preserve">Among </w:t>
      </w:r>
      <w:r w:rsidRPr="00695169">
        <w:rPr>
          <w:i/>
          <w:lang w:val="en-CA"/>
        </w:rPr>
        <w:t>Considerers</w:t>
      </w:r>
      <w:r>
        <w:rPr>
          <w:lang w:val="en-CA"/>
        </w:rPr>
        <w:t xml:space="preserve">, two thirds considered switching once or twice, and the other third considered switching at least three times. Among </w:t>
      </w:r>
      <w:r w:rsidRPr="00695169">
        <w:rPr>
          <w:i/>
          <w:lang w:val="en-CA"/>
        </w:rPr>
        <w:t>Status Quo</w:t>
      </w:r>
      <w:r>
        <w:rPr>
          <w:lang w:val="en-CA"/>
        </w:rPr>
        <w:t xml:space="preserve"> subscribers, 7 in 10 are open to switching service providers, while the remaining feel they will probably never switch service providers.</w:t>
      </w:r>
    </w:p>
    <w:p w14:paraId="607DF576" w14:textId="77777777" w:rsidR="00BD45AB" w:rsidRDefault="00BD45AB" w:rsidP="00BD45AB">
      <w:pPr>
        <w:jc w:val="both"/>
        <w:rPr>
          <w:lang w:val="en-CA"/>
        </w:rPr>
      </w:pPr>
      <w:r>
        <w:rPr>
          <w:lang w:val="en-CA"/>
        </w:rPr>
        <w:t xml:space="preserve">Specific events that trigger the idea of switching service providers among </w:t>
      </w:r>
      <w:r w:rsidRPr="00695169">
        <w:rPr>
          <w:i/>
          <w:lang w:val="en-CA"/>
        </w:rPr>
        <w:t>Considerers</w:t>
      </w:r>
      <w:r>
        <w:rPr>
          <w:lang w:val="en-CA"/>
        </w:rPr>
        <w:t xml:space="preserve"> are mainly when the service bill received is higher than usual, or when the service does not work as expected. Other triggers, not only for </w:t>
      </w:r>
      <w:r w:rsidRPr="00747E44">
        <w:rPr>
          <w:i/>
          <w:lang w:val="en-CA"/>
        </w:rPr>
        <w:t>Considerers</w:t>
      </w:r>
      <w:r>
        <w:rPr>
          <w:lang w:val="en-CA"/>
        </w:rPr>
        <w:t xml:space="preserve"> but also for </w:t>
      </w:r>
      <w:r w:rsidRPr="00747E44">
        <w:rPr>
          <w:i/>
          <w:lang w:val="en-CA"/>
        </w:rPr>
        <w:t>New Subscribers, Switchers</w:t>
      </w:r>
      <w:r>
        <w:rPr>
          <w:lang w:val="en-CA"/>
        </w:rPr>
        <w:t xml:space="preserve"> and </w:t>
      </w:r>
      <w:r w:rsidRPr="00747E44">
        <w:rPr>
          <w:i/>
          <w:lang w:val="en-CA"/>
        </w:rPr>
        <w:t>Intenders</w:t>
      </w:r>
      <w:r>
        <w:rPr>
          <w:lang w:val="en-CA"/>
        </w:rPr>
        <w:t xml:space="preserve"> include the perception of high prices, better offers from competitors, or specific channels or content wanted. The main barrier to switching among </w:t>
      </w:r>
      <w:r w:rsidRPr="00747E44">
        <w:rPr>
          <w:i/>
          <w:lang w:val="en-CA"/>
        </w:rPr>
        <w:t>Considerers</w:t>
      </w:r>
      <w:r>
        <w:rPr>
          <w:lang w:val="en-CA"/>
        </w:rPr>
        <w:t xml:space="preserve"> is the perceived hassle of going through the process.</w:t>
      </w:r>
    </w:p>
    <w:p w14:paraId="5B3E9000" w14:textId="77777777" w:rsidR="00BD45AB" w:rsidRDefault="00BD45AB" w:rsidP="00BD45AB">
      <w:pPr>
        <w:jc w:val="both"/>
        <w:rPr>
          <w:lang w:val="en-CA"/>
        </w:rPr>
      </w:pPr>
      <w:r>
        <w:rPr>
          <w:lang w:val="en-CA"/>
        </w:rPr>
        <w:t xml:space="preserve">Overall, respondents estimate there are on average three (3) paid television service providers in their area to choose from. In order to find one, respondents mainly turn to their family and friends for advice, visit specific service provider websites, use Google or other search engines in general, or call sales representatives from service providers. </w:t>
      </w:r>
      <w:r w:rsidRPr="00576E5C">
        <w:rPr>
          <w:i/>
          <w:lang w:val="en-CA"/>
        </w:rPr>
        <w:t>New Subscribers</w:t>
      </w:r>
      <w:r>
        <w:rPr>
          <w:lang w:val="en-CA"/>
        </w:rPr>
        <w:t xml:space="preserve"> are more likely to use online sources (websites, social media, blogs or chat rooms) compared to other segments. </w:t>
      </w:r>
    </w:p>
    <w:p w14:paraId="0A272B91" w14:textId="77777777" w:rsidR="00BD45AB" w:rsidRDefault="00BD45AB" w:rsidP="00BD45AB">
      <w:pPr>
        <w:jc w:val="both"/>
        <w:rPr>
          <w:lang w:val="en-CA"/>
        </w:rPr>
      </w:pPr>
      <w:r>
        <w:rPr>
          <w:lang w:val="en-CA"/>
        </w:rPr>
        <w:t xml:space="preserve">When looking for information to choose a paid TV service provider, the most important information for respondents are (in order of importance): the monthly price, the cost of the service or any equipment needed, and the channel packages.  </w:t>
      </w:r>
    </w:p>
    <w:p w14:paraId="1BBF0BCE" w14:textId="77777777" w:rsidR="00BD45AB" w:rsidRDefault="00BD45AB" w:rsidP="00BD45AB">
      <w:pPr>
        <w:jc w:val="both"/>
        <w:rPr>
          <w:lang w:val="en-CA"/>
        </w:rPr>
      </w:pPr>
      <w:r>
        <w:rPr>
          <w:lang w:val="en-CA"/>
        </w:rPr>
        <w:t>Over 4 in 5 respondents say it was easy to find the information they were looking for. Among those who didn’t feel the information was easy to find, nearly one third had trouble finding information on the monthly price, the television channel packages available, and the cost of equipment needed (set-up boxes, satellite dish, etc.).</w:t>
      </w:r>
    </w:p>
    <w:p w14:paraId="2B97BC32" w14:textId="77777777" w:rsidR="00B42E33" w:rsidRDefault="00B42E33" w:rsidP="00BD45AB">
      <w:pPr>
        <w:pStyle w:val="Heading3"/>
        <w:rPr>
          <w:lang w:val="en-CA"/>
        </w:rPr>
      </w:pPr>
    </w:p>
    <w:p w14:paraId="7DB13976" w14:textId="77777777" w:rsidR="00BD45AB" w:rsidRDefault="00BD45AB" w:rsidP="00BD45AB">
      <w:pPr>
        <w:pStyle w:val="Heading3"/>
        <w:rPr>
          <w:lang w:val="en-CA"/>
        </w:rPr>
      </w:pPr>
      <w:bookmarkStart w:id="8" w:name="_Toc468310779"/>
      <w:r>
        <w:rPr>
          <w:lang w:val="en-CA"/>
        </w:rPr>
        <w:t>Internet Services</w:t>
      </w:r>
      <w:bookmarkEnd w:id="8"/>
    </w:p>
    <w:p w14:paraId="12F651B7" w14:textId="77777777" w:rsidR="00BD45AB" w:rsidRPr="00395677" w:rsidRDefault="00BD45AB" w:rsidP="00BD45AB">
      <w:pPr>
        <w:jc w:val="both"/>
      </w:pPr>
      <w:r>
        <w:rPr>
          <w:lang w:val="en-CA"/>
        </w:rPr>
        <w:t xml:space="preserve">The largest user segment when it comes to internet services is the </w:t>
      </w:r>
      <w:r>
        <w:rPr>
          <w:i/>
          <w:lang w:val="en-CA"/>
        </w:rPr>
        <w:t xml:space="preserve">Status Quo </w:t>
      </w:r>
      <w:r>
        <w:rPr>
          <w:lang w:val="en-CA"/>
        </w:rPr>
        <w:t xml:space="preserve">segment (roughly one-half), followed by </w:t>
      </w:r>
      <w:r w:rsidRPr="00645B0C">
        <w:rPr>
          <w:i/>
          <w:lang w:val="en-CA"/>
        </w:rPr>
        <w:t>Considerers</w:t>
      </w:r>
      <w:r>
        <w:rPr>
          <w:lang w:val="en-CA"/>
        </w:rPr>
        <w:t xml:space="preserve"> (roughly one fifth), </w:t>
      </w:r>
      <w:r>
        <w:rPr>
          <w:i/>
          <w:lang w:val="en-CA"/>
        </w:rPr>
        <w:t xml:space="preserve">New Subscribers </w:t>
      </w:r>
      <w:r w:rsidRPr="00395677">
        <w:rPr>
          <w:lang w:val="en-CA"/>
        </w:rPr>
        <w:t xml:space="preserve">and </w:t>
      </w:r>
      <w:r>
        <w:rPr>
          <w:i/>
          <w:lang w:val="en-CA"/>
        </w:rPr>
        <w:t xml:space="preserve">Switchers </w:t>
      </w:r>
      <w:r>
        <w:rPr>
          <w:lang w:val="en-CA"/>
        </w:rPr>
        <w:t xml:space="preserve">(roughly one out of ten respondents in each segment). Fewer than 10% fall into each of the </w:t>
      </w:r>
      <w:r>
        <w:rPr>
          <w:i/>
          <w:lang w:val="en-CA"/>
        </w:rPr>
        <w:t xml:space="preserve">Intender </w:t>
      </w:r>
      <w:r w:rsidRPr="001D39C2">
        <w:rPr>
          <w:lang w:val="en-CA"/>
        </w:rPr>
        <w:t>and</w:t>
      </w:r>
      <w:r>
        <w:rPr>
          <w:i/>
          <w:lang w:val="en-CA"/>
        </w:rPr>
        <w:t xml:space="preserve"> Non-Subscriber </w:t>
      </w:r>
      <w:r w:rsidRPr="001D39C2">
        <w:rPr>
          <w:lang w:val="en-CA"/>
        </w:rPr>
        <w:t>segments</w:t>
      </w:r>
      <w:r>
        <w:rPr>
          <w:lang w:val="en-CA"/>
        </w:rPr>
        <w:t>.</w:t>
      </w:r>
    </w:p>
    <w:p w14:paraId="0EA9980D" w14:textId="77777777" w:rsidR="00BD45AB" w:rsidRDefault="00BD45AB" w:rsidP="00BD45AB">
      <w:pPr>
        <w:jc w:val="both"/>
        <w:rPr>
          <w:lang w:val="en-CA"/>
        </w:rPr>
      </w:pPr>
      <w:r w:rsidRPr="00BA4966">
        <w:rPr>
          <w:lang w:val="en-CA"/>
        </w:rPr>
        <w:t xml:space="preserve">Over 7 in 10 </w:t>
      </w:r>
      <w:r w:rsidRPr="00BA4966">
        <w:rPr>
          <w:i/>
          <w:lang w:val="en-CA"/>
        </w:rPr>
        <w:t>Considerers</w:t>
      </w:r>
      <w:r>
        <w:rPr>
          <w:lang w:val="en-CA"/>
        </w:rPr>
        <w:t xml:space="preserve"> thought of switching internet service providers once or twice during the last year, while the remaining considered switching at least three times. Two thirds of </w:t>
      </w:r>
      <w:r w:rsidRPr="00BA4966">
        <w:rPr>
          <w:i/>
          <w:lang w:val="en-CA"/>
        </w:rPr>
        <w:t>Status Quo</w:t>
      </w:r>
      <w:r>
        <w:rPr>
          <w:lang w:val="en-CA"/>
        </w:rPr>
        <w:t xml:space="preserve"> subscribers are open to switching service providers. Nearly a third of </w:t>
      </w:r>
      <w:r>
        <w:rPr>
          <w:i/>
          <w:lang w:val="en-CA"/>
        </w:rPr>
        <w:t xml:space="preserve">Considerers </w:t>
      </w:r>
      <w:r>
        <w:rPr>
          <w:lang w:val="en-CA"/>
        </w:rPr>
        <w:t xml:space="preserve">indicated there was a different reason every time they considered switching over the past year.  Other common triggers included a higher bill than usual or whenever the service didn’t work as expected (as noted by a quarter of </w:t>
      </w:r>
      <w:r w:rsidRPr="004F7811">
        <w:rPr>
          <w:i/>
          <w:lang w:val="en-CA"/>
        </w:rPr>
        <w:t>Considerers</w:t>
      </w:r>
      <w:r>
        <w:rPr>
          <w:lang w:val="en-CA"/>
        </w:rPr>
        <w:t xml:space="preserve">). Another main reason to switch is the high cost of the service, particularly for </w:t>
      </w:r>
      <w:r w:rsidRPr="00FD10F8">
        <w:rPr>
          <w:i/>
          <w:lang w:val="en-CA"/>
        </w:rPr>
        <w:t>Considerers</w:t>
      </w:r>
      <w:r>
        <w:rPr>
          <w:lang w:val="en-CA"/>
        </w:rPr>
        <w:t xml:space="preserve"> and </w:t>
      </w:r>
      <w:r w:rsidRPr="00FD10F8">
        <w:rPr>
          <w:i/>
          <w:lang w:val="en-CA"/>
        </w:rPr>
        <w:t>Switchers</w:t>
      </w:r>
      <w:r>
        <w:rPr>
          <w:lang w:val="en-CA"/>
        </w:rPr>
        <w:t>. The former, however, have not switched mainly because they find it is too much trouble, or the setup costs with a new provider would be too expensive.</w:t>
      </w:r>
    </w:p>
    <w:p w14:paraId="1B3AD18A" w14:textId="77777777" w:rsidR="00BD45AB" w:rsidRDefault="00BD45AB" w:rsidP="00BD45AB">
      <w:pPr>
        <w:jc w:val="both"/>
        <w:rPr>
          <w:lang w:val="en-CA"/>
        </w:rPr>
      </w:pPr>
      <w:r>
        <w:rPr>
          <w:lang w:val="en-CA"/>
        </w:rPr>
        <w:t xml:space="preserve">On average, internet subscribers believe there are four (4) service providers in their area. When looking for information on them, at least two out of five visit specific service provider websites, speak to friends, family or coworkers, or do a general search on Google or other search engines. </w:t>
      </w:r>
    </w:p>
    <w:p w14:paraId="3A85520E" w14:textId="77777777" w:rsidR="00BD45AB" w:rsidRDefault="00BD45AB" w:rsidP="00BD45AB">
      <w:pPr>
        <w:jc w:val="both"/>
        <w:rPr>
          <w:lang w:val="en-CA"/>
        </w:rPr>
      </w:pPr>
      <w:r>
        <w:rPr>
          <w:lang w:val="en-CA"/>
        </w:rPr>
        <w:t xml:space="preserve">In terms of the type of information that is of greatest interest, respondents tend to focus on the monthly price, the set up costs of any equipment, the internet speed in their area, and the monthly data cap. </w:t>
      </w:r>
    </w:p>
    <w:p w14:paraId="27A9C266" w14:textId="77777777" w:rsidR="00BD45AB" w:rsidRDefault="00BD45AB" w:rsidP="00BD45AB">
      <w:pPr>
        <w:jc w:val="both"/>
        <w:rPr>
          <w:lang w:val="en-CA"/>
        </w:rPr>
      </w:pPr>
      <w:r>
        <w:rPr>
          <w:lang w:val="en-CA"/>
        </w:rPr>
        <w:t xml:space="preserve">Overall, four in five say it was easy to find the information for which they were looking. Among those who say it was difficult to find certain information, nearly one third had trouble finding information on the monthly price of the service, as well as the internet speed in their area. </w:t>
      </w:r>
    </w:p>
    <w:p w14:paraId="771B8907" w14:textId="77777777" w:rsidR="00B42E33" w:rsidRDefault="00B42E33" w:rsidP="00BD45AB">
      <w:pPr>
        <w:pStyle w:val="Heading3"/>
        <w:rPr>
          <w:lang w:val="en-CA"/>
        </w:rPr>
      </w:pPr>
    </w:p>
    <w:p w14:paraId="527C0DF9" w14:textId="77777777" w:rsidR="00BD45AB" w:rsidRDefault="00BD45AB" w:rsidP="00BD45AB">
      <w:pPr>
        <w:pStyle w:val="Heading3"/>
        <w:rPr>
          <w:lang w:val="en-CA"/>
        </w:rPr>
      </w:pPr>
      <w:bookmarkStart w:id="9" w:name="_Toc468310780"/>
      <w:r>
        <w:rPr>
          <w:lang w:val="en-CA"/>
        </w:rPr>
        <w:t>Home Phone Services</w:t>
      </w:r>
      <w:bookmarkEnd w:id="9"/>
    </w:p>
    <w:p w14:paraId="7C30F307" w14:textId="77777777" w:rsidR="00BD45AB" w:rsidRPr="001D39C2" w:rsidRDefault="00BD45AB" w:rsidP="00BD45AB">
      <w:pPr>
        <w:jc w:val="both"/>
      </w:pPr>
      <w:r>
        <w:rPr>
          <w:lang w:val="en-CA"/>
        </w:rPr>
        <w:t xml:space="preserve">The largest user segment when it comes to home phone services is the </w:t>
      </w:r>
      <w:r w:rsidRPr="00395677">
        <w:rPr>
          <w:i/>
          <w:lang w:val="en-CA"/>
        </w:rPr>
        <w:t>Status Quo</w:t>
      </w:r>
      <w:r>
        <w:rPr>
          <w:lang w:val="en-CA"/>
        </w:rPr>
        <w:t xml:space="preserve"> and </w:t>
      </w:r>
      <w:r w:rsidRPr="00395677">
        <w:rPr>
          <w:i/>
          <w:lang w:val="en-CA"/>
        </w:rPr>
        <w:t>Non-Subscriber</w:t>
      </w:r>
      <w:r>
        <w:rPr>
          <w:lang w:val="en-CA"/>
        </w:rPr>
        <w:t xml:space="preserve"> segments (roughly two out of five respondents in each segment), followed by the </w:t>
      </w:r>
      <w:r w:rsidRPr="00395677">
        <w:rPr>
          <w:i/>
          <w:lang w:val="en-CA"/>
        </w:rPr>
        <w:t>Considerer</w:t>
      </w:r>
      <w:r>
        <w:rPr>
          <w:lang w:val="en-CA"/>
        </w:rPr>
        <w:t xml:space="preserve"> segment (roughly one tenth). Fewer than 10% fall into each of the </w:t>
      </w:r>
      <w:r w:rsidRPr="00395677">
        <w:rPr>
          <w:i/>
          <w:lang w:val="en-CA"/>
        </w:rPr>
        <w:t>Switcher</w:t>
      </w:r>
      <w:r>
        <w:rPr>
          <w:lang w:val="en-CA"/>
        </w:rPr>
        <w:t xml:space="preserve">, </w:t>
      </w:r>
      <w:r w:rsidRPr="00395677">
        <w:rPr>
          <w:i/>
          <w:lang w:val="en-CA"/>
        </w:rPr>
        <w:t>New Subscriber</w:t>
      </w:r>
      <w:r>
        <w:rPr>
          <w:lang w:val="en-CA"/>
        </w:rPr>
        <w:t xml:space="preserve"> and </w:t>
      </w:r>
      <w:r>
        <w:rPr>
          <w:i/>
          <w:lang w:val="en-CA"/>
        </w:rPr>
        <w:t xml:space="preserve">Intender </w:t>
      </w:r>
      <w:r w:rsidRPr="001D39C2">
        <w:rPr>
          <w:lang w:val="en-CA"/>
        </w:rPr>
        <w:t>segments</w:t>
      </w:r>
      <w:r>
        <w:rPr>
          <w:lang w:val="en-CA"/>
        </w:rPr>
        <w:t>.</w:t>
      </w:r>
    </w:p>
    <w:p w14:paraId="7CE8511F" w14:textId="77777777" w:rsidR="00BD45AB" w:rsidRPr="000457AA" w:rsidRDefault="00BD45AB" w:rsidP="00BD45AB">
      <w:pPr>
        <w:jc w:val="both"/>
        <w:rPr>
          <w:lang w:val="en-CA"/>
        </w:rPr>
      </w:pPr>
      <w:r>
        <w:rPr>
          <w:lang w:val="en-CA"/>
        </w:rPr>
        <w:t xml:space="preserve">Among </w:t>
      </w:r>
      <w:r w:rsidRPr="000457AA">
        <w:rPr>
          <w:i/>
          <w:lang w:val="en-CA"/>
        </w:rPr>
        <w:t>Considerers</w:t>
      </w:r>
      <w:r>
        <w:rPr>
          <w:lang w:val="en-CA"/>
        </w:rPr>
        <w:t xml:space="preserve">, nearly two thirds contemplated switching home phone service providers within the last year once or twice, and another third considered switching at least three times. Three in five </w:t>
      </w:r>
      <w:r w:rsidRPr="000457AA">
        <w:rPr>
          <w:i/>
          <w:lang w:val="en-CA"/>
        </w:rPr>
        <w:t>Status Quo</w:t>
      </w:r>
      <w:r>
        <w:rPr>
          <w:lang w:val="en-CA"/>
        </w:rPr>
        <w:t xml:space="preserve"> subscriber are open to switching providers. </w:t>
      </w:r>
      <w:r w:rsidRPr="000457AA">
        <w:rPr>
          <w:i/>
          <w:lang w:val="en-CA"/>
        </w:rPr>
        <w:t>Considerers</w:t>
      </w:r>
      <w:r>
        <w:rPr>
          <w:i/>
          <w:lang w:val="en-CA"/>
        </w:rPr>
        <w:t>’</w:t>
      </w:r>
      <w:r>
        <w:rPr>
          <w:lang w:val="en-CA"/>
        </w:rPr>
        <w:t xml:space="preserve"> most common event triggering the idea to switch home phone service providers is the moment they receive their bill. However, this segment ends up not changing providers as they perceive this would be too much trouble for them. Other common reasons that tend to motivate individuals to switch or select a specific provider include being offered a better priced service or a promotion, or finding their current service too expensive and an increasing bill.</w:t>
      </w:r>
    </w:p>
    <w:p w14:paraId="777CFC95" w14:textId="77777777" w:rsidR="00BD45AB" w:rsidRDefault="00BD45AB" w:rsidP="00BD45AB">
      <w:pPr>
        <w:jc w:val="both"/>
        <w:rPr>
          <w:lang w:val="en-CA"/>
        </w:rPr>
      </w:pPr>
      <w:r>
        <w:rPr>
          <w:lang w:val="en-CA"/>
        </w:rPr>
        <w:t xml:space="preserve">Respondents believe there are on average three (3) service providers in their area. To decide how to choose one, subscribers and </w:t>
      </w:r>
      <w:r w:rsidRPr="00DE4E70">
        <w:rPr>
          <w:i/>
          <w:lang w:val="en-CA"/>
        </w:rPr>
        <w:t>Intenders</w:t>
      </w:r>
      <w:r>
        <w:rPr>
          <w:lang w:val="en-CA"/>
        </w:rPr>
        <w:t xml:space="preserve"> mainly visit service provider websites, speak with family, friends and coworkers, or use Google or other search engines. The most important information sought for these </w:t>
      </w:r>
      <w:r>
        <w:rPr>
          <w:lang w:val="en-CA"/>
        </w:rPr>
        <w:lastRenderedPageBreak/>
        <w:t>respondents is the monthly price, followed closely by the costs related to setting up the service or the equipment required, as well as the availability and cost of calling features.</w:t>
      </w:r>
    </w:p>
    <w:p w14:paraId="10F2D6BE" w14:textId="778E7E91" w:rsidR="00BD45AB" w:rsidRDefault="00BD45AB" w:rsidP="00BD45AB">
      <w:pPr>
        <w:jc w:val="both"/>
        <w:rPr>
          <w:lang w:val="en-CA"/>
        </w:rPr>
      </w:pPr>
      <w:r>
        <w:rPr>
          <w:lang w:val="en-CA"/>
        </w:rPr>
        <w:t xml:space="preserve">Over 4 in 5 respondents feel it was easy to find the information they were looking for in regards to home phone service providers. Those who felt it was difficult to obtain the information they needed say the information most difficult to find was the monthly price of the service, equipment or service set up costs, as well as contract or commitment terms. </w:t>
      </w:r>
    </w:p>
    <w:p w14:paraId="7664BA97" w14:textId="77777777" w:rsidR="00B42E33" w:rsidRDefault="00B42E33" w:rsidP="00BD45AB">
      <w:pPr>
        <w:pStyle w:val="Heading3"/>
        <w:rPr>
          <w:lang w:val="en-CA"/>
        </w:rPr>
      </w:pPr>
    </w:p>
    <w:p w14:paraId="4F24FF2E" w14:textId="77777777" w:rsidR="00BD45AB" w:rsidRDefault="00BD45AB" w:rsidP="00BD45AB">
      <w:pPr>
        <w:pStyle w:val="Heading3"/>
        <w:rPr>
          <w:lang w:val="en-CA"/>
        </w:rPr>
      </w:pPr>
      <w:bookmarkStart w:id="10" w:name="_Toc468310781"/>
      <w:r>
        <w:rPr>
          <w:lang w:val="en-CA"/>
        </w:rPr>
        <w:t>Cellular Services</w:t>
      </w:r>
      <w:bookmarkEnd w:id="10"/>
    </w:p>
    <w:p w14:paraId="595E5E7A" w14:textId="77777777" w:rsidR="00BD45AB" w:rsidRPr="00395677" w:rsidRDefault="00BD45AB" w:rsidP="00BD45AB">
      <w:pPr>
        <w:jc w:val="both"/>
      </w:pPr>
      <w:r>
        <w:rPr>
          <w:lang w:val="en-CA"/>
        </w:rPr>
        <w:t xml:space="preserve">The largest user segment when it comes to cellular services is the </w:t>
      </w:r>
      <w:r w:rsidRPr="001D39C2">
        <w:rPr>
          <w:i/>
          <w:lang w:val="en-CA"/>
        </w:rPr>
        <w:t>Status Quo</w:t>
      </w:r>
      <w:r>
        <w:rPr>
          <w:lang w:val="en-CA"/>
        </w:rPr>
        <w:t xml:space="preserve"> (roughly three out of five respondents), followed by </w:t>
      </w:r>
      <w:r w:rsidRPr="001D39C2">
        <w:rPr>
          <w:i/>
          <w:lang w:val="en-CA"/>
        </w:rPr>
        <w:t>Considerer</w:t>
      </w:r>
      <w:r>
        <w:rPr>
          <w:i/>
          <w:lang w:val="en-CA"/>
        </w:rPr>
        <w:t>s</w:t>
      </w:r>
      <w:r>
        <w:rPr>
          <w:lang w:val="en-CA"/>
        </w:rPr>
        <w:t xml:space="preserve"> (roughly over one in ten respondents). Fewer than 10% fall into each of the </w:t>
      </w:r>
      <w:r w:rsidRPr="001D39C2">
        <w:rPr>
          <w:i/>
          <w:lang w:val="en-CA"/>
        </w:rPr>
        <w:t>Switcher</w:t>
      </w:r>
      <w:r>
        <w:rPr>
          <w:lang w:val="en-CA"/>
        </w:rPr>
        <w:t xml:space="preserve">, </w:t>
      </w:r>
      <w:r w:rsidRPr="001D39C2">
        <w:rPr>
          <w:i/>
          <w:lang w:val="en-CA"/>
        </w:rPr>
        <w:t>New Subscriber</w:t>
      </w:r>
      <w:r>
        <w:rPr>
          <w:i/>
          <w:lang w:val="en-CA"/>
        </w:rPr>
        <w:t>,</w:t>
      </w:r>
      <w:r>
        <w:rPr>
          <w:lang w:val="en-CA"/>
        </w:rPr>
        <w:t xml:space="preserve"> </w:t>
      </w:r>
      <w:r>
        <w:rPr>
          <w:i/>
          <w:lang w:val="en-CA"/>
        </w:rPr>
        <w:t xml:space="preserve">Intender, and Non-Subscriber </w:t>
      </w:r>
      <w:r w:rsidRPr="001D39C2">
        <w:rPr>
          <w:lang w:val="en-CA"/>
        </w:rPr>
        <w:t>segments</w:t>
      </w:r>
      <w:r>
        <w:rPr>
          <w:lang w:val="en-CA"/>
        </w:rPr>
        <w:t>.</w:t>
      </w:r>
    </w:p>
    <w:p w14:paraId="145B5533" w14:textId="77777777" w:rsidR="00BD45AB" w:rsidRDefault="00BD45AB" w:rsidP="00BD45AB">
      <w:pPr>
        <w:jc w:val="both"/>
        <w:rPr>
          <w:lang w:val="en-CA"/>
        </w:rPr>
      </w:pPr>
      <w:r>
        <w:rPr>
          <w:lang w:val="en-CA"/>
        </w:rPr>
        <w:t xml:space="preserve">Over 7 in 10 </w:t>
      </w:r>
      <w:r w:rsidRPr="00EB1646">
        <w:rPr>
          <w:i/>
          <w:lang w:val="en-CA"/>
        </w:rPr>
        <w:t>Considerers</w:t>
      </w:r>
      <w:r>
        <w:rPr>
          <w:lang w:val="en-CA"/>
        </w:rPr>
        <w:t xml:space="preserve"> have thought about switching service providers in the last year at least twice. Over a quarter have considered switching at least three time in the same period of time. Nearly two thirds of </w:t>
      </w:r>
      <w:r w:rsidRPr="00EB1646">
        <w:rPr>
          <w:i/>
          <w:lang w:val="en-CA"/>
        </w:rPr>
        <w:t>Status Quo</w:t>
      </w:r>
      <w:r>
        <w:rPr>
          <w:lang w:val="en-CA"/>
        </w:rPr>
        <w:t xml:space="preserve"> subscribers are open to the idea of switching service providers. </w:t>
      </w:r>
    </w:p>
    <w:p w14:paraId="0EE04811" w14:textId="66168BC5" w:rsidR="00BD45AB" w:rsidRDefault="00BD45AB" w:rsidP="00BD45AB">
      <w:pPr>
        <w:jc w:val="both"/>
        <w:rPr>
          <w:lang w:val="en-CA"/>
        </w:rPr>
      </w:pPr>
      <w:r>
        <w:rPr>
          <w:lang w:val="en-CA"/>
        </w:rPr>
        <w:t xml:space="preserve">The most common events triggering </w:t>
      </w:r>
      <w:r w:rsidRPr="000B5CE8">
        <w:rPr>
          <w:i/>
          <w:lang w:val="en-CA"/>
        </w:rPr>
        <w:t>Considerers</w:t>
      </w:r>
      <w:r>
        <w:rPr>
          <w:lang w:val="en-CA"/>
        </w:rPr>
        <w:t xml:space="preserve"> to think of switching cellular service providers are when they get their bill, every time their service does not work as expected, and every time they get a bill that is higher than usual. However, they are most likely to refrain from switching because of stipulations in their current contract, the trouble associated with switching providers, or the expensive contract termination fees. Other reasons that typically compel individuals to switch or think of switching include the cost of the service and an increasing bill, or finding better prices or promotions from competitors.</w:t>
      </w:r>
    </w:p>
    <w:p w14:paraId="4D39730A" w14:textId="77777777" w:rsidR="00BD45AB" w:rsidRDefault="00BD45AB" w:rsidP="00BD45AB">
      <w:pPr>
        <w:jc w:val="both"/>
        <w:rPr>
          <w:lang w:val="en-CA"/>
        </w:rPr>
      </w:pPr>
      <w:r>
        <w:rPr>
          <w:lang w:val="en-CA"/>
        </w:rPr>
        <w:t xml:space="preserve">Respondents believe there are on average six (6) cellular service providers in their area. To find information about these providers, respondents mainly resort to service provider websites, speak to friends, family or coworkers, or do a general search on Google or other search engines. </w:t>
      </w:r>
    </w:p>
    <w:p w14:paraId="2FFF2FAF" w14:textId="5A0471CC" w:rsidR="00BD45AB" w:rsidRDefault="00BD45AB" w:rsidP="00BD45AB">
      <w:pPr>
        <w:jc w:val="both"/>
        <w:rPr>
          <w:lang w:val="en-CA"/>
        </w:rPr>
      </w:pPr>
      <w:r>
        <w:rPr>
          <w:lang w:val="en-CA"/>
        </w:rPr>
        <w:t xml:space="preserve">The most important information sought regarding cellular services include the monthly price of the service, data plans, cellular coverage areas, types and price of cell phones available, as well as the availability and cost of calling features. Information on cellular services are considered easy to find by over four out of five respondents. Information that is relatively more difficult to find is the monthly price, cellular coverage area, roaming rates, data plans, and contract or commitment terms. </w:t>
      </w:r>
    </w:p>
    <w:p w14:paraId="1157262C" w14:textId="77777777" w:rsidR="00B42E33" w:rsidRDefault="00B42E33" w:rsidP="00BD45AB">
      <w:pPr>
        <w:pStyle w:val="Heading3"/>
        <w:rPr>
          <w:lang w:val="en-CA"/>
        </w:rPr>
      </w:pPr>
    </w:p>
    <w:p w14:paraId="6BD51960" w14:textId="77777777" w:rsidR="00BD45AB" w:rsidRDefault="00BD45AB" w:rsidP="00BD45AB">
      <w:pPr>
        <w:pStyle w:val="Heading3"/>
        <w:rPr>
          <w:lang w:val="en-CA"/>
        </w:rPr>
      </w:pPr>
      <w:bookmarkStart w:id="11" w:name="_Toc468310782"/>
      <w:r>
        <w:rPr>
          <w:lang w:val="en-CA"/>
        </w:rPr>
        <w:t>Technology User Behaviour</w:t>
      </w:r>
      <w:bookmarkEnd w:id="11"/>
      <w:r>
        <w:rPr>
          <w:lang w:val="en-CA"/>
        </w:rPr>
        <w:t xml:space="preserve"> </w:t>
      </w:r>
    </w:p>
    <w:p w14:paraId="693B58AE" w14:textId="77777777" w:rsidR="00BD45AB" w:rsidRDefault="00BD45AB" w:rsidP="00BD45AB">
      <w:pPr>
        <w:jc w:val="both"/>
        <w:rPr>
          <w:lang w:val="en-CA"/>
        </w:rPr>
      </w:pPr>
      <w:r>
        <w:rPr>
          <w:lang w:val="en-CA"/>
        </w:rPr>
        <w:t>This research also explored the devices used to do research on communication service providers. At least four in five respondents used their devices at home, particularly laptops or chromebooks. Not surprisingly, smartphones are used the most when conducting research on the go, or at work/school.</w:t>
      </w:r>
    </w:p>
    <w:p w14:paraId="0E5992B6" w14:textId="40307EBD" w:rsidR="00B42E33" w:rsidRDefault="00B42E33" w:rsidP="00B42E33">
      <w:pPr>
        <w:jc w:val="both"/>
        <w:rPr>
          <w:lang w:val="en-CA"/>
        </w:rPr>
      </w:pPr>
      <w:r>
        <w:rPr>
          <w:lang w:val="en-CA"/>
        </w:rPr>
        <w:t>For all services, including OTA TV, respondents have a stronger preference to have an online tool that helps them search information based on their city or postal code.</w:t>
      </w:r>
    </w:p>
    <w:p w14:paraId="24C5FF21" w14:textId="77777777" w:rsidR="00BD45AB" w:rsidRDefault="00BD45AB" w:rsidP="00BD45AB">
      <w:pPr>
        <w:jc w:val="both"/>
        <w:rPr>
          <w:lang w:val="en-CA"/>
        </w:rPr>
      </w:pPr>
      <w:r>
        <w:rPr>
          <w:lang w:val="en-CA"/>
        </w:rPr>
        <w:lastRenderedPageBreak/>
        <w:t>Respondents’ attitude towards bundling their communication services leans towards bundling two services, mainly paid TV and Internet. Those considering bundling three services would include Paid TV, Internet, and home phone services.</w:t>
      </w:r>
    </w:p>
    <w:p w14:paraId="57602E70" w14:textId="77777777" w:rsidR="00B42E33" w:rsidRDefault="00B42E33" w:rsidP="00BD45AB">
      <w:pPr>
        <w:pStyle w:val="Heading3"/>
        <w:rPr>
          <w:lang w:val="en-CA"/>
        </w:rPr>
      </w:pPr>
    </w:p>
    <w:p w14:paraId="5AD94863" w14:textId="77777777" w:rsidR="00BD45AB" w:rsidRDefault="00BD45AB" w:rsidP="00BD45AB">
      <w:pPr>
        <w:pStyle w:val="Heading3"/>
        <w:rPr>
          <w:lang w:val="en-CA"/>
        </w:rPr>
      </w:pPr>
      <w:bookmarkStart w:id="12" w:name="_Toc468310783"/>
      <w:r>
        <w:rPr>
          <w:lang w:val="en-CA"/>
        </w:rPr>
        <w:t>Final Observations</w:t>
      </w:r>
      <w:bookmarkEnd w:id="12"/>
    </w:p>
    <w:p w14:paraId="5CBAEF08" w14:textId="34D7437C" w:rsidR="00BD45AB" w:rsidRDefault="00BD45AB" w:rsidP="00BD45AB">
      <w:pPr>
        <w:jc w:val="both"/>
        <w:rPr>
          <w:lang w:val="en-CA"/>
        </w:rPr>
      </w:pPr>
      <w:r>
        <w:rPr>
          <w:lang w:val="en-CA"/>
        </w:rPr>
        <w:t>Considering OTA TV has existed for much longer than paid television service, awareness of the service seems low. Behaviours towards other communication services are similar in terms of motivations to select a provider or switch to another one. Regardless of the service, most respondents are aware and willing to switch providers if they feel the service or price is not meeting their needs or expectations. It is clear communication services users are vigilant of their expenditures towards these services and the value for their money is the most important subscription driver</w:t>
      </w:r>
      <w:r w:rsidR="00E2684E">
        <w:rPr>
          <w:lang w:val="en-CA"/>
        </w:rPr>
        <w:t>,</w:t>
      </w:r>
      <w:r>
        <w:rPr>
          <w:lang w:val="en-CA"/>
        </w:rPr>
        <w:t xml:space="preserve"> and therefore the most important type of information that needs to be readily available to them. Service monthly price, costs of equipment, contract terms, and service and plan details such as channel packages, internet speed and data caps, calling features, coverage areas, types and costs of devices, roaming fees, or other information with an impact on the service cost are considered crucial for consumers when it comes to selecting their service provider and the service plan that best meets their needs. This information also needs to be accessible on all types of devices as there seems to be equal use of devices when conducting research.</w:t>
      </w:r>
    </w:p>
    <w:p w14:paraId="1FE27154" w14:textId="77777777" w:rsidR="00B42E33" w:rsidRDefault="00B42E33" w:rsidP="00F026F7">
      <w:pPr>
        <w:pStyle w:val="Heading2"/>
        <w:rPr>
          <w:lang w:val="en-CA"/>
        </w:rPr>
      </w:pPr>
    </w:p>
    <w:p w14:paraId="0A70E36C" w14:textId="77777777" w:rsidR="00BD45AB" w:rsidRDefault="00BD45AB" w:rsidP="00F026F7">
      <w:pPr>
        <w:pStyle w:val="Heading2"/>
        <w:rPr>
          <w:lang w:val="en-CA"/>
        </w:rPr>
      </w:pPr>
      <w:bookmarkStart w:id="13" w:name="_Toc468310784"/>
      <w:r>
        <w:rPr>
          <w:lang w:val="en-CA"/>
        </w:rPr>
        <w:t>Methodology</w:t>
      </w:r>
      <w:bookmarkEnd w:id="13"/>
    </w:p>
    <w:p w14:paraId="27D14DB9" w14:textId="18FCEAD9" w:rsidR="00BD45AB" w:rsidRDefault="00BD45AB" w:rsidP="00BD45AB">
      <w:pPr>
        <w:jc w:val="both"/>
        <w:rPr>
          <w:rFonts w:cstheme="minorHAnsi"/>
        </w:rPr>
      </w:pPr>
      <w:r w:rsidRPr="00BF7D42">
        <w:rPr>
          <w:rFonts w:cstheme="minorHAnsi"/>
        </w:rPr>
        <w:t>The research approach consist</w:t>
      </w:r>
      <w:r>
        <w:rPr>
          <w:rFonts w:cstheme="minorHAnsi"/>
        </w:rPr>
        <w:t>ed</w:t>
      </w:r>
      <w:r w:rsidRPr="00BF7D42">
        <w:rPr>
          <w:rFonts w:cstheme="minorHAnsi"/>
        </w:rPr>
        <w:t xml:space="preserve"> of an online survey with Canadians</w:t>
      </w:r>
      <w:r>
        <w:rPr>
          <w:rFonts w:cstheme="minorHAnsi"/>
        </w:rPr>
        <w:t>, between the ages of 18 and 55,</w:t>
      </w:r>
      <w:r w:rsidRPr="00BF7D42">
        <w:rPr>
          <w:rFonts w:cstheme="minorHAnsi"/>
        </w:rPr>
        <w:t xml:space="preserve"> who have an</w:t>
      </w:r>
      <w:r>
        <w:rPr>
          <w:rFonts w:cstheme="minorHAnsi"/>
        </w:rPr>
        <w:t xml:space="preserve"> I</w:t>
      </w:r>
      <w:r w:rsidRPr="00BF7D42">
        <w:rPr>
          <w:rFonts w:cstheme="minorHAnsi"/>
        </w:rPr>
        <w:t xml:space="preserve">nternet connection </w:t>
      </w:r>
      <w:r>
        <w:rPr>
          <w:rFonts w:cstheme="minorHAnsi"/>
        </w:rPr>
        <w:t xml:space="preserve">and any of the following: </w:t>
      </w:r>
      <w:r w:rsidRPr="00BF7D42">
        <w:rPr>
          <w:rFonts w:cstheme="minorHAnsi"/>
        </w:rPr>
        <w:t xml:space="preserve">a smartphone, a desktop, </w:t>
      </w:r>
      <w:r>
        <w:rPr>
          <w:rFonts w:cstheme="minorHAnsi"/>
        </w:rPr>
        <w:t xml:space="preserve">a </w:t>
      </w:r>
      <w:r w:rsidRPr="00BF7D42">
        <w:rPr>
          <w:rFonts w:cstheme="minorHAnsi"/>
        </w:rPr>
        <w:t xml:space="preserve">tablet or </w:t>
      </w:r>
      <w:r>
        <w:rPr>
          <w:rFonts w:cstheme="minorHAnsi"/>
        </w:rPr>
        <w:t xml:space="preserve">a </w:t>
      </w:r>
      <w:r w:rsidRPr="00BF7D42">
        <w:rPr>
          <w:rFonts w:cstheme="minorHAnsi"/>
        </w:rPr>
        <w:t>laptop</w:t>
      </w:r>
      <w:r>
        <w:rPr>
          <w:rFonts w:cstheme="minorHAnsi"/>
        </w:rPr>
        <w:t xml:space="preserve">.  Respondents also needed </w:t>
      </w:r>
      <w:r w:rsidR="00E2684E">
        <w:rPr>
          <w:rFonts w:cstheme="minorHAnsi"/>
        </w:rPr>
        <w:t xml:space="preserve">to </w:t>
      </w:r>
      <w:r>
        <w:rPr>
          <w:rFonts w:cstheme="minorHAnsi"/>
        </w:rPr>
        <w:t>have access to or otherwise express an intention to subscribe to any of the following:</w:t>
      </w:r>
      <w:r w:rsidRPr="00BF7D42">
        <w:rPr>
          <w:rFonts w:cstheme="minorHAnsi"/>
        </w:rPr>
        <w:t xml:space="preserve"> </w:t>
      </w:r>
      <w:r>
        <w:rPr>
          <w:rFonts w:cstheme="minorHAnsi"/>
        </w:rPr>
        <w:t>o</w:t>
      </w:r>
      <w:r w:rsidRPr="00BF7D42">
        <w:rPr>
          <w:rFonts w:cstheme="minorHAnsi"/>
        </w:rPr>
        <w:t>ver</w:t>
      </w:r>
      <w:r>
        <w:rPr>
          <w:rFonts w:cstheme="minorHAnsi"/>
        </w:rPr>
        <w:t>-t</w:t>
      </w:r>
      <w:r w:rsidRPr="00BF7D42">
        <w:rPr>
          <w:rFonts w:cstheme="minorHAnsi"/>
        </w:rPr>
        <w:t>he</w:t>
      </w:r>
      <w:r>
        <w:rPr>
          <w:rFonts w:cstheme="minorHAnsi"/>
        </w:rPr>
        <w:t>-a</w:t>
      </w:r>
      <w:r w:rsidRPr="00BF7D42">
        <w:rPr>
          <w:rFonts w:cstheme="minorHAnsi"/>
        </w:rPr>
        <w:t>ir (OTA) TV, paid TV</w:t>
      </w:r>
      <w:r>
        <w:rPr>
          <w:rFonts w:cstheme="minorHAnsi"/>
        </w:rPr>
        <w:t>, mobile or landline phone, or I</w:t>
      </w:r>
      <w:r w:rsidRPr="00BF7D42">
        <w:rPr>
          <w:rFonts w:cstheme="minorHAnsi"/>
        </w:rPr>
        <w:t>nternet</w:t>
      </w:r>
      <w:r>
        <w:rPr>
          <w:rFonts w:cstheme="minorHAnsi"/>
        </w:rPr>
        <w:t xml:space="preserve"> services</w:t>
      </w:r>
      <w:r w:rsidRPr="00BF7D42">
        <w:rPr>
          <w:rFonts w:cstheme="minorHAnsi"/>
        </w:rPr>
        <w:t xml:space="preserve">. </w:t>
      </w:r>
      <w:r>
        <w:rPr>
          <w:rFonts w:cstheme="minorHAnsi"/>
        </w:rPr>
        <w:t>For the services to which they subscribe or intend to subscribe, the respondent needed to be one of the household’s</w:t>
      </w:r>
      <w:r w:rsidRPr="00BF7D42">
        <w:rPr>
          <w:rFonts w:cstheme="minorHAnsi"/>
        </w:rPr>
        <w:t xml:space="preserve"> main decision-maker</w:t>
      </w:r>
      <w:r>
        <w:rPr>
          <w:rFonts w:cstheme="minorHAnsi"/>
        </w:rPr>
        <w:t xml:space="preserve">s or influencers. </w:t>
      </w:r>
    </w:p>
    <w:p w14:paraId="239F817C" w14:textId="2C8D667B" w:rsidR="00BD45AB" w:rsidRDefault="00BD45AB" w:rsidP="00BD45AB">
      <w:pPr>
        <w:jc w:val="both"/>
        <w:rPr>
          <w:rFonts w:cstheme="minorHAnsi"/>
        </w:rPr>
      </w:pPr>
      <w:r w:rsidRPr="002913EC">
        <w:rPr>
          <w:rFonts w:cstheme="minorHAnsi"/>
        </w:rPr>
        <w:t xml:space="preserve">Respondents were invited from a panel of Canadians. In total, 1,200 surveys were completed with Canadians between October 3 and October 17, 2016. Quotas were established to ensure sufficient representation in specific regions to make sure regional analysis was possible. Because of the non-probability sampling nature of online panels, a valid margin of error cannot be calculated. The margin of error for a comparable probability-based random sample of the same size </w:t>
      </w:r>
      <w:r>
        <w:rPr>
          <w:rFonts w:cstheme="minorHAnsi"/>
        </w:rPr>
        <w:t xml:space="preserve">is +/- 2.8%, 19 times out of 20. </w:t>
      </w:r>
      <w:r w:rsidRPr="00112D9E">
        <w:rPr>
          <w:rFonts w:cstheme="minorHAnsi"/>
          <w:lang w:val="en-GB"/>
        </w:rPr>
        <w:t xml:space="preserve">The data in this report </w:t>
      </w:r>
      <w:r w:rsidRPr="00112D9E">
        <w:rPr>
          <w:rFonts w:cstheme="minorHAnsi"/>
        </w:rPr>
        <w:t>is weighed to replicate actual population distributions by province, age, and gender, within Canada according to 2011 Census data</w:t>
      </w:r>
      <w:r>
        <w:rPr>
          <w:rFonts w:cstheme="minorHAnsi"/>
        </w:rPr>
        <w:t>.</w:t>
      </w:r>
    </w:p>
    <w:p w14:paraId="3EABA3AE" w14:textId="77777777" w:rsidR="00B42E33" w:rsidRPr="00C114A1" w:rsidRDefault="00B42E33" w:rsidP="00BD45AB">
      <w:pPr>
        <w:jc w:val="both"/>
        <w:rPr>
          <w:rFonts w:cstheme="minorHAnsi"/>
          <w:lang w:val="en-CA"/>
        </w:rPr>
      </w:pPr>
    </w:p>
    <w:p w14:paraId="14AA0BB7" w14:textId="77777777" w:rsidR="00BD45AB" w:rsidRPr="00B42E33" w:rsidRDefault="00BD45AB" w:rsidP="00BD45AB">
      <w:pPr>
        <w:pBdr>
          <w:top w:val="single" w:sz="4" w:space="1" w:color="auto"/>
          <w:left w:val="single" w:sz="4" w:space="4" w:color="auto"/>
          <w:bottom w:val="single" w:sz="4" w:space="1" w:color="auto"/>
          <w:right w:val="single" w:sz="4" w:space="4" w:color="auto"/>
        </w:pBdr>
        <w:spacing w:after="0" w:line="240" w:lineRule="auto"/>
        <w:rPr>
          <w:b/>
          <w:sz w:val="20"/>
          <w:szCs w:val="20"/>
          <w:lang w:val="en-CA"/>
        </w:rPr>
      </w:pPr>
      <w:r w:rsidRPr="00B42E33">
        <w:rPr>
          <w:b/>
          <w:bCs/>
          <w:sz w:val="20"/>
          <w:szCs w:val="20"/>
          <w:lang w:val="en-CA"/>
        </w:rPr>
        <w:t>Supplier Name: Quorus Consulting Group Inc.</w:t>
      </w:r>
    </w:p>
    <w:p w14:paraId="5A902B3E" w14:textId="77777777" w:rsidR="00BD45AB" w:rsidRPr="00B42E33" w:rsidRDefault="00BD45AB" w:rsidP="00BD45AB">
      <w:pPr>
        <w:pBdr>
          <w:top w:val="single" w:sz="4" w:space="1" w:color="auto"/>
          <w:left w:val="single" w:sz="4" w:space="4" w:color="auto"/>
          <w:bottom w:val="single" w:sz="4" w:space="1" w:color="auto"/>
          <w:right w:val="single" w:sz="4" w:space="4" w:color="auto"/>
        </w:pBdr>
        <w:spacing w:after="0" w:line="240" w:lineRule="auto"/>
        <w:rPr>
          <w:b/>
          <w:sz w:val="20"/>
          <w:szCs w:val="20"/>
          <w:lang w:val="en-CA"/>
        </w:rPr>
      </w:pPr>
      <w:r w:rsidRPr="00B42E33">
        <w:rPr>
          <w:b/>
          <w:bCs/>
          <w:sz w:val="20"/>
          <w:szCs w:val="20"/>
          <w:lang w:val="en-CA"/>
        </w:rPr>
        <w:t xml:space="preserve">PWGSC Contract Number:  </w:t>
      </w:r>
      <w:r w:rsidRPr="00B42E33">
        <w:rPr>
          <w:b/>
          <w:sz w:val="20"/>
          <w:szCs w:val="20"/>
          <w:lang w:val="en-CA"/>
        </w:rPr>
        <w:t>82082-170119/001/CY</w:t>
      </w:r>
    </w:p>
    <w:p w14:paraId="67D7D977" w14:textId="77777777" w:rsidR="00BD45AB" w:rsidRPr="00B42E33" w:rsidRDefault="00BD45AB" w:rsidP="00BD45AB">
      <w:pPr>
        <w:pBdr>
          <w:top w:val="single" w:sz="4" w:space="1" w:color="auto"/>
          <w:left w:val="single" w:sz="4" w:space="4" w:color="auto"/>
          <w:bottom w:val="single" w:sz="4" w:space="1" w:color="auto"/>
          <w:right w:val="single" w:sz="4" w:space="4" w:color="auto"/>
        </w:pBdr>
        <w:spacing w:after="0" w:line="240" w:lineRule="auto"/>
        <w:rPr>
          <w:b/>
          <w:sz w:val="20"/>
          <w:szCs w:val="20"/>
          <w:lang w:val="en-CA"/>
        </w:rPr>
      </w:pPr>
      <w:r w:rsidRPr="00B42E33">
        <w:rPr>
          <w:b/>
          <w:bCs/>
          <w:sz w:val="20"/>
          <w:szCs w:val="20"/>
          <w:lang w:val="en-CA"/>
        </w:rPr>
        <w:t xml:space="preserve">Contract Award Date:  </w:t>
      </w:r>
      <w:r w:rsidRPr="00B42E33">
        <w:rPr>
          <w:b/>
          <w:sz w:val="20"/>
          <w:szCs w:val="20"/>
          <w:lang w:val="en-CA"/>
        </w:rPr>
        <w:t>August 18, 2016</w:t>
      </w:r>
    </w:p>
    <w:p w14:paraId="5EBE924E" w14:textId="77777777" w:rsidR="00BD45AB" w:rsidRPr="00B42E33" w:rsidRDefault="00BD45AB" w:rsidP="00BD45AB">
      <w:pPr>
        <w:pBdr>
          <w:top w:val="single" w:sz="4" w:space="1" w:color="auto"/>
          <w:left w:val="single" w:sz="4" w:space="4" w:color="auto"/>
          <w:bottom w:val="single" w:sz="4" w:space="1" w:color="auto"/>
          <w:right w:val="single" w:sz="4" w:space="4" w:color="auto"/>
        </w:pBdr>
        <w:spacing w:after="0" w:line="240" w:lineRule="auto"/>
        <w:rPr>
          <w:b/>
          <w:sz w:val="20"/>
          <w:szCs w:val="20"/>
          <w:lang w:val="en-CA"/>
        </w:rPr>
      </w:pPr>
      <w:r w:rsidRPr="00B42E33">
        <w:rPr>
          <w:b/>
          <w:bCs/>
          <w:sz w:val="20"/>
          <w:szCs w:val="20"/>
          <w:lang w:val="en-CA"/>
        </w:rPr>
        <w:t>Contract Amount (including HST): $38,457.86</w:t>
      </w:r>
    </w:p>
    <w:p w14:paraId="1C9C203C" w14:textId="4D2279E8" w:rsidR="00BD45AB" w:rsidRPr="00B42E33" w:rsidRDefault="00BD45AB" w:rsidP="00B42E33">
      <w:pPr>
        <w:pBdr>
          <w:top w:val="single" w:sz="4" w:space="1" w:color="auto"/>
          <w:left w:val="single" w:sz="4" w:space="4" w:color="auto"/>
          <w:bottom w:val="single" w:sz="4" w:space="1" w:color="auto"/>
          <w:right w:val="single" w:sz="4" w:space="4" w:color="auto"/>
        </w:pBdr>
        <w:spacing w:after="0" w:line="240" w:lineRule="auto"/>
        <w:rPr>
          <w:b/>
          <w:sz w:val="20"/>
          <w:szCs w:val="20"/>
          <w:lang w:val="en-CA"/>
        </w:rPr>
      </w:pPr>
      <w:r w:rsidRPr="00B42E33">
        <w:rPr>
          <w:b/>
          <w:bCs/>
          <w:sz w:val="20"/>
          <w:szCs w:val="20"/>
          <w:lang w:val="en-CA"/>
        </w:rPr>
        <w:t xml:space="preserve">For more information, please contact the CRTC at: </w:t>
      </w:r>
      <w:r w:rsidRPr="00B42E33">
        <w:rPr>
          <w:b/>
          <w:sz w:val="20"/>
          <w:szCs w:val="20"/>
          <w:lang w:val="en-CA"/>
        </w:rPr>
        <w:t>communications@crtc.gc.ca</w:t>
      </w:r>
    </w:p>
    <w:p w14:paraId="381F954A" w14:textId="1300825D" w:rsidR="00C1390B" w:rsidRDefault="00C1390B">
      <w:pPr>
        <w:rPr>
          <w:lang w:val="en-CA"/>
        </w:rPr>
      </w:pPr>
    </w:p>
    <w:sectPr w:rsidR="00C1390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3B24A" w14:textId="77777777" w:rsidR="00E047C2" w:rsidRDefault="00E047C2" w:rsidP="00A86BC7">
      <w:pPr>
        <w:spacing w:after="0" w:line="240" w:lineRule="auto"/>
      </w:pPr>
      <w:r>
        <w:separator/>
      </w:r>
    </w:p>
  </w:endnote>
  <w:endnote w:type="continuationSeparator" w:id="0">
    <w:p w14:paraId="1C3241AF" w14:textId="77777777" w:rsidR="00E047C2" w:rsidRDefault="00E047C2" w:rsidP="00A8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076928"/>
      <w:docPartObj>
        <w:docPartGallery w:val="Page Numbers (Bottom of Page)"/>
        <w:docPartUnique/>
      </w:docPartObj>
    </w:sdtPr>
    <w:sdtEndPr>
      <w:rPr>
        <w:noProof/>
      </w:rPr>
    </w:sdtEndPr>
    <w:sdtContent>
      <w:p w14:paraId="67897786" w14:textId="1427CDAB" w:rsidR="00EE39B4" w:rsidRDefault="00EE39B4" w:rsidP="0047228F">
        <w:pPr>
          <w:pStyle w:val="Footer"/>
          <w:jc w:val="right"/>
        </w:pPr>
        <w:r w:rsidRPr="0047228F">
          <w:rPr>
            <w:noProof/>
            <w:sz w:val="18"/>
            <w:szCs w:val="18"/>
            <w:lang w:val="en-CA" w:eastAsia="en-CA"/>
          </w:rPr>
          <w:drawing>
            <wp:anchor distT="0" distB="0" distL="114300" distR="114300" simplePos="0" relativeHeight="251660288" behindDoc="1" locked="0" layoutInCell="1" allowOverlap="1" wp14:anchorId="2AB656CE" wp14:editId="302CD928">
              <wp:simplePos x="0" y="0"/>
              <wp:positionH relativeFrom="margin">
                <wp:align>center</wp:align>
              </wp:positionH>
              <wp:positionV relativeFrom="paragraph">
                <wp:posOffset>285307</wp:posOffset>
              </wp:positionV>
              <wp:extent cx="7986186" cy="341290"/>
              <wp:effectExtent l="0" t="0" r="0" b="190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pages-word-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6186" cy="341290"/>
                      </a:xfrm>
                      <a:prstGeom prst="rect">
                        <a:avLst/>
                      </a:prstGeom>
                    </pic:spPr>
                  </pic:pic>
                </a:graphicData>
              </a:graphic>
              <wp14:sizeRelH relativeFrom="page">
                <wp14:pctWidth>0</wp14:pctWidth>
              </wp14:sizeRelH>
              <wp14:sizeRelV relativeFrom="page">
                <wp14:pctHeight>0</wp14:pctHeight>
              </wp14:sizeRelV>
            </wp:anchor>
          </w:drawing>
        </w:r>
        <w:r w:rsidRPr="0047228F">
          <w:rPr>
            <w:sz w:val="18"/>
            <w:szCs w:val="18"/>
          </w:rPr>
          <w:fldChar w:fldCharType="begin"/>
        </w:r>
        <w:r w:rsidRPr="0047228F">
          <w:rPr>
            <w:sz w:val="18"/>
            <w:szCs w:val="18"/>
          </w:rPr>
          <w:instrText xml:space="preserve"> PAGE   \* MERGEFORMAT </w:instrText>
        </w:r>
        <w:r w:rsidRPr="0047228F">
          <w:rPr>
            <w:sz w:val="18"/>
            <w:szCs w:val="18"/>
          </w:rPr>
          <w:fldChar w:fldCharType="separate"/>
        </w:r>
        <w:r w:rsidR="00896957">
          <w:rPr>
            <w:noProof/>
            <w:sz w:val="18"/>
            <w:szCs w:val="18"/>
          </w:rPr>
          <w:t>2</w:t>
        </w:r>
        <w:r w:rsidRPr="0047228F">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995B8" w14:textId="77777777" w:rsidR="00E047C2" w:rsidRDefault="00E047C2" w:rsidP="00A86BC7">
      <w:pPr>
        <w:spacing w:after="0" w:line="240" w:lineRule="auto"/>
      </w:pPr>
      <w:r>
        <w:separator/>
      </w:r>
    </w:p>
  </w:footnote>
  <w:footnote w:type="continuationSeparator" w:id="0">
    <w:p w14:paraId="3EEB8685" w14:textId="77777777" w:rsidR="00E047C2" w:rsidRDefault="00E047C2" w:rsidP="00A86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3F7F" w14:textId="77777777" w:rsidR="00EE39B4" w:rsidRDefault="00EE39B4" w:rsidP="00FC6FEE">
    <w:pPr>
      <w:pStyle w:val="Header"/>
      <w:tabs>
        <w:tab w:val="clear" w:pos="4680"/>
        <w:tab w:val="clear" w:pos="9360"/>
        <w:tab w:val="left" w:pos="2385"/>
      </w:tabs>
    </w:pPr>
    <w:r>
      <w:rPr>
        <w:noProof/>
        <w:lang w:val="en-CA" w:eastAsia="en-CA"/>
      </w:rPr>
      <w:drawing>
        <wp:anchor distT="0" distB="0" distL="114300" distR="114300" simplePos="0" relativeHeight="251658240" behindDoc="1" locked="0" layoutInCell="1" allowOverlap="1" wp14:anchorId="041AC81C" wp14:editId="127B9957">
          <wp:simplePos x="0" y="0"/>
          <wp:positionH relativeFrom="column">
            <wp:posOffset>-909320</wp:posOffset>
          </wp:positionH>
          <wp:positionV relativeFrom="paragraph">
            <wp:posOffset>-452157</wp:posOffset>
          </wp:positionV>
          <wp:extent cx="7819342" cy="649941"/>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pages-word-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9342" cy="649941"/>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59C459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5DCBE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6D5FF0"/>
    <w:multiLevelType w:val="hybridMultilevel"/>
    <w:tmpl w:val="9FB0C1D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E02773"/>
    <w:multiLevelType w:val="hybridMultilevel"/>
    <w:tmpl w:val="502629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864972"/>
    <w:multiLevelType w:val="hybridMultilevel"/>
    <w:tmpl w:val="05AAAA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CF7054"/>
    <w:multiLevelType w:val="hybridMultilevel"/>
    <w:tmpl w:val="B8CAD1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2E67FB"/>
    <w:multiLevelType w:val="hybridMultilevel"/>
    <w:tmpl w:val="AF9436EC"/>
    <w:lvl w:ilvl="0" w:tplc="00365624">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CE157A1"/>
    <w:multiLevelType w:val="hybridMultilevel"/>
    <w:tmpl w:val="2716BD5E"/>
    <w:lvl w:ilvl="0" w:tplc="E3F4C88C">
      <w:start w:val="1"/>
      <w:numFmt w:val="bullet"/>
      <w:lvlText w:val=""/>
      <w:lvlJc w:val="left"/>
      <w:pPr>
        <w:ind w:left="780" w:hanging="360"/>
      </w:pPr>
      <w:rPr>
        <w:rFonts w:ascii="Wingdings" w:hAnsi="Wingdings" w:hint="default"/>
        <w:color w:val="4F6228" w:themeColor="accent3" w:themeShade="80"/>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102E6831"/>
    <w:multiLevelType w:val="hybridMultilevel"/>
    <w:tmpl w:val="9FB0C1D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450DF1"/>
    <w:multiLevelType w:val="hybridMultilevel"/>
    <w:tmpl w:val="1CBE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E5C01"/>
    <w:multiLevelType w:val="hybridMultilevel"/>
    <w:tmpl w:val="CE60B88E"/>
    <w:lvl w:ilvl="0" w:tplc="B3E4AF72">
      <w:start w:val="1"/>
      <w:numFmt w:val="bullet"/>
      <w:pStyle w:val="bullet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DF2540"/>
    <w:multiLevelType w:val="multilevel"/>
    <w:tmpl w:val="2B641C92"/>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F1802"/>
    <w:multiLevelType w:val="singleLevel"/>
    <w:tmpl w:val="FFFFFFFF"/>
    <w:lvl w:ilvl="0">
      <w:start w:val="1"/>
      <w:numFmt w:val="bullet"/>
      <w:pStyle w:val="newbullet"/>
      <w:lvlText w:val=""/>
      <w:legacy w:legacy="1" w:legacySpace="0" w:legacyIndent="360"/>
      <w:lvlJc w:val="left"/>
      <w:pPr>
        <w:ind w:left="450" w:hanging="360"/>
      </w:pPr>
      <w:rPr>
        <w:rFonts w:ascii="Symbol" w:hAnsi="Symbol" w:hint="default"/>
      </w:rPr>
    </w:lvl>
  </w:abstractNum>
  <w:abstractNum w:abstractNumId="13" w15:restartNumberingAfterBreak="0">
    <w:nsid w:val="29EC7376"/>
    <w:multiLevelType w:val="hybridMultilevel"/>
    <w:tmpl w:val="78969E0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AFA7AFD"/>
    <w:multiLevelType w:val="hybridMultilevel"/>
    <w:tmpl w:val="4324100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7003ED"/>
    <w:multiLevelType w:val="hybridMultilevel"/>
    <w:tmpl w:val="2C006D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2035CD"/>
    <w:multiLevelType w:val="hybridMultilevel"/>
    <w:tmpl w:val="8E247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51D552C"/>
    <w:multiLevelType w:val="hybridMultilevel"/>
    <w:tmpl w:val="9FB0C1D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E971C3"/>
    <w:multiLevelType w:val="hybridMultilevel"/>
    <w:tmpl w:val="1ED64E26"/>
    <w:lvl w:ilvl="0" w:tplc="00365624">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A382D62"/>
    <w:multiLevelType w:val="hybridMultilevel"/>
    <w:tmpl w:val="9FB0C1D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7C77ED"/>
    <w:multiLevelType w:val="hybridMultilevel"/>
    <w:tmpl w:val="9FB0C1D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7E0412"/>
    <w:multiLevelType w:val="hybridMultilevel"/>
    <w:tmpl w:val="AECC452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FCA6841"/>
    <w:multiLevelType w:val="hybridMultilevel"/>
    <w:tmpl w:val="2C006D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CE40DA"/>
    <w:multiLevelType w:val="hybridMultilevel"/>
    <w:tmpl w:val="2C006D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5C3D33"/>
    <w:multiLevelType w:val="hybridMultilevel"/>
    <w:tmpl w:val="2A1CE3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4537AC"/>
    <w:multiLevelType w:val="hybridMultilevel"/>
    <w:tmpl w:val="E6D40B2C"/>
    <w:lvl w:ilvl="0" w:tplc="00365624">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C8A1662"/>
    <w:multiLevelType w:val="hybridMultilevel"/>
    <w:tmpl w:val="DC765812"/>
    <w:lvl w:ilvl="0" w:tplc="23AAB124">
      <w:start w:val="1"/>
      <w:numFmt w:val="bullet"/>
      <w:lvlText w:val="•"/>
      <w:lvlJc w:val="left"/>
      <w:pPr>
        <w:tabs>
          <w:tab w:val="num" w:pos="720"/>
        </w:tabs>
        <w:ind w:left="720" w:hanging="360"/>
      </w:pPr>
      <w:rPr>
        <w:rFonts w:ascii="Arial" w:hAnsi="Arial" w:hint="default"/>
      </w:rPr>
    </w:lvl>
    <w:lvl w:ilvl="1" w:tplc="6512CCA4" w:tentative="1">
      <w:start w:val="1"/>
      <w:numFmt w:val="bullet"/>
      <w:lvlText w:val="•"/>
      <w:lvlJc w:val="left"/>
      <w:pPr>
        <w:tabs>
          <w:tab w:val="num" w:pos="1440"/>
        </w:tabs>
        <w:ind w:left="1440" w:hanging="360"/>
      </w:pPr>
      <w:rPr>
        <w:rFonts w:ascii="Arial" w:hAnsi="Arial" w:hint="default"/>
      </w:rPr>
    </w:lvl>
    <w:lvl w:ilvl="2" w:tplc="554008EC" w:tentative="1">
      <w:start w:val="1"/>
      <w:numFmt w:val="bullet"/>
      <w:lvlText w:val="•"/>
      <w:lvlJc w:val="left"/>
      <w:pPr>
        <w:tabs>
          <w:tab w:val="num" w:pos="2160"/>
        </w:tabs>
        <w:ind w:left="2160" w:hanging="360"/>
      </w:pPr>
      <w:rPr>
        <w:rFonts w:ascii="Arial" w:hAnsi="Arial" w:hint="default"/>
      </w:rPr>
    </w:lvl>
    <w:lvl w:ilvl="3" w:tplc="864A4AB0" w:tentative="1">
      <w:start w:val="1"/>
      <w:numFmt w:val="bullet"/>
      <w:lvlText w:val="•"/>
      <w:lvlJc w:val="left"/>
      <w:pPr>
        <w:tabs>
          <w:tab w:val="num" w:pos="2880"/>
        </w:tabs>
        <w:ind w:left="2880" w:hanging="360"/>
      </w:pPr>
      <w:rPr>
        <w:rFonts w:ascii="Arial" w:hAnsi="Arial" w:hint="default"/>
      </w:rPr>
    </w:lvl>
    <w:lvl w:ilvl="4" w:tplc="ACD4AC84" w:tentative="1">
      <w:start w:val="1"/>
      <w:numFmt w:val="bullet"/>
      <w:lvlText w:val="•"/>
      <w:lvlJc w:val="left"/>
      <w:pPr>
        <w:tabs>
          <w:tab w:val="num" w:pos="3600"/>
        </w:tabs>
        <w:ind w:left="3600" w:hanging="360"/>
      </w:pPr>
      <w:rPr>
        <w:rFonts w:ascii="Arial" w:hAnsi="Arial" w:hint="default"/>
      </w:rPr>
    </w:lvl>
    <w:lvl w:ilvl="5" w:tplc="BC1E79BA" w:tentative="1">
      <w:start w:val="1"/>
      <w:numFmt w:val="bullet"/>
      <w:lvlText w:val="•"/>
      <w:lvlJc w:val="left"/>
      <w:pPr>
        <w:tabs>
          <w:tab w:val="num" w:pos="4320"/>
        </w:tabs>
        <w:ind w:left="4320" w:hanging="360"/>
      </w:pPr>
      <w:rPr>
        <w:rFonts w:ascii="Arial" w:hAnsi="Arial" w:hint="default"/>
      </w:rPr>
    </w:lvl>
    <w:lvl w:ilvl="6" w:tplc="3B0CC562" w:tentative="1">
      <w:start w:val="1"/>
      <w:numFmt w:val="bullet"/>
      <w:lvlText w:val="•"/>
      <w:lvlJc w:val="left"/>
      <w:pPr>
        <w:tabs>
          <w:tab w:val="num" w:pos="5040"/>
        </w:tabs>
        <w:ind w:left="5040" w:hanging="360"/>
      </w:pPr>
      <w:rPr>
        <w:rFonts w:ascii="Arial" w:hAnsi="Arial" w:hint="default"/>
      </w:rPr>
    </w:lvl>
    <w:lvl w:ilvl="7" w:tplc="B8D201CE" w:tentative="1">
      <w:start w:val="1"/>
      <w:numFmt w:val="bullet"/>
      <w:lvlText w:val="•"/>
      <w:lvlJc w:val="left"/>
      <w:pPr>
        <w:tabs>
          <w:tab w:val="num" w:pos="5760"/>
        </w:tabs>
        <w:ind w:left="5760" w:hanging="360"/>
      </w:pPr>
      <w:rPr>
        <w:rFonts w:ascii="Arial" w:hAnsi="Arial" w:hint="default"/>
      </w:rPr>
    </w:lvl>
    <w:lvl w:ilvl="8" w:tplc="BDBEB6D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A634E03"/>
    <w:multiLevelType w:val="hybridMultilevel"/>
    <w:tmpl w:val="2C006D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1831AE"/>
    <w:multiLevelType w:val="hybridMultilevel"/>
    <w:tmpl w:val="05AAAA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7C1FC8"/>
    <w:multiLevelType w:val="hybridMultilevel"/>
    <w:tmpl w:val="2A1CE3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951CEC"/>
    <w:multiLevelType w:val="hybridMultilevel"/>
    <w:tmpl w:val="5B16CCFE"/>
    <w:lvl w:ilvl="0" w:tplc="00365624">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8F00F89"/>
    <w:multiLevelType w:val="hybridMultilevel"/>
    <w:tmpl w:val="7AF0E6C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157B8A"/>
    <w:multiLevelType w:val="hybridMultilevel"/>
    <w:tmpl w:val="4FDAEC2C"/>
    <w:lvl w:ilvl="0" w:tplc="FC1A313C">
      <w:start w:val="5"/>
      <w:numFmt w:val="bullet"/>
      <w:lvlText w:val=""/>
      <w:lvlJc w:val="left"/>
      <w:pPr>
        <w:ind w:left="720" w:hanging="360"/>
      </w:pPr>
      <w:rPr>
        <w:rFonts w:ascii="Wingdings" w:eastAsia="Calibri" w:hAnsi="Wingding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618B9"/>
    <w:multiLevelType w:val="hybridMultilevel"/>
    <w:tmpl w:val="7D6649F8"/>
    <w:lvl w:ilvl="0" w:tplc="B6660D42">
      <w:start w:val="1"/>
      <w:numFmt w:val="bullet"/>
      <w:pStyle w:val="Bullet2Lis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62D67F2"/>
    <w:multiLevelType w:val="hybridMultilevel"/>
    <w:tmpl w:val="06A669D6"/>
    <w:lvl w:ilvl="0" w:tplc="00365624">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6417657"/>
    <w:multiLevelType w:val="hybridMultilevel"/>
    <w:tmpl w:val="53B6BF78"/>
    <w:lvl w:ilvl="0" w:tplc="BB228B2E">
      <w:start w:val="1"/>
      <w:numFmt w:val="bullet"/>
      <w:pStyle w:val="Bullet1paragraph"/>
      <w:lvlText w:val=""/>
      <w:lvlJc w:val="left"/>
      <w:pPr>
        <w:ind w:left="360" w:hanging="360"/>
      </w:pPr>
      <w:rPr>
        <w:rFonts w:ascii="Wingdings" w:hAnsi="Wingdings" w:hint="default"/>
        <w:color w:val="F79646" w:themeColor="accent6"/>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CEA7C9F"/>
    <w:multiLevelType w:val="hybridMultilevel"/>
    <w:tmpl w:val="45B0D8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3"/>
  </w:num>
  <w:num w:numId="3">
    <w:abstractNumId w:val="16"/>
  </w:num>
  <w:num w:numId="4">
    <w:abstractNumId w:val="26"/>
  </w:num>
  <w:num w:numId="5">
    <w:abstractNumId w:val="35"/>
  </w:num>
  <w:num w:numId="6">
    <w:abstractNumId w:val="33"/>
  </w:num>
  <w:num w:numId="7">
    <w:abstractNumId w:val="10"/>
  </w:num>
  <w:num w:numId="8">
    <w:abstractNumId w:val="1"/>
  </w:num>
  <w:num w:numId="9">
    <w:abstractNumId w:val="12"/>
  </w:num>
  <w:num w:numId="10">
    <w:abstractNumId w:val="21"/>
  </w:num>
  <w:num w:numId="11">
    <w:abstractNumId w:val="11"/>
  </w:num>
  <w:num w:numId="12">
    <w:abstractNumId w:val="2"/>
  </w:num>
  <w:num w:numId="13">
    <w:abstractNumId w:val="5"/>
  </w:num>
  <w:num w:numId="14">
    <w:abstractNumId w:val="4"/>
  </w:num>
  <w:num w:numId="15">
    <w:abstractNumId w:val="22"/>
  </w:num>
  <w:num w:numId="16">
    <w:abstractNumId w:val="32"/>
  </w:num>
  <w:num w:numId="17">
    <w:abstractNumId w:val="27"/>
  </w:num>
  <w:num w:numId="18">
    <w:abstractNumId w:val="20"/>
  </w:num>
  <w:num w:numId="19">
    <w:abstractNumId w:val="15"/>
  </w:num>
  <w:num w:numId="20">
    <w:abstractNumId w:val="17"/>
  </w:num>
  <w:num w:numId="21">
    <w:abstractNumId w:val="23"/>
  </w:num>
  <w:num w:numId="22">
    <w:abstractNumId w:val="8"/>
  </w:num>
  <w:num w:numId="23">
    <w:abstractNumId w:val="24"/>
  </w:num>
  <w:num w:numId="24">
    <w:abstractNumId w:val="0"/>
  </w:num>
  <w:num w:numId="25">
    <w:abstractNumId w:val="6"/>
  </w:num>
  <w:num w:numId="26">
    <w:abstractNumId w:val="18"/>
  </w:num>
  <w:num w:numId="27">
    <w:abstractNumId w:val="25"/>
  </w:num>
  <w:num w:numId="28">
    <w:abstractNumId w:val="34"/>
  </w:num>
  <w:num w:numId="29">
    <w:abstractNumId w:val="30"/>
  </w:num>
  <w:num w:numId="30">
    <w:abstractNumId w:val="28"/>
  </w:num>
  <w:num w:numId="31">
    <w:abstractNumId w:val="14"/>
  </w:num>
  <w:num w:numId="32">
    <w:abstractNumId w:val="3"/>
  </w:num>
  <w:num w:numId="33">
    <w:abstractNumId w:val="36"/>
  </w:num>
  <w:num w:numId="34">
    <w:abstractNumId w:val="31"/>
  </w:num>
  <w:num w:numId="35">
    <w:abstractNumId w:val="19"/>
  </w:num>
  <w:num w:numId="36">
    <w:abstractNumId w:val="29"/>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2D"/>
    <w:rsid w:val="00023BE2"/>
    <w:rsid w:val="00026FC5"/>
    <w:rsid w:val="00030262"/>
    <w:rsid w:val="00034735"/>
    <w:rsid w:val="00041B2D"/>
    <w:rsid w:val="00041DC1"/>
    <w:rsid w:val="000457AA"/>
    <w:rsid w:val="00050629"/>
    <w:rsid w:val="00057CFB"/>
    <w:rsid w:val="00067592"/>
    <w:rsid w:val="00073099"/>
    <w:rsid w:val="00075F6A"/>
    <w:rsid w:val="00093D76"/>
    <w:rsid w:val="000949B6"/>
    <w:rsid w:val="00096E2A"/>
    <w:rsid w:val="000A333A"/>
    <w:rsid w:val="000B2E70"/>
    <w:rsid w:val="000B5CE8"/>
    <w:rsid w:val="000B6EB3"/>
    <w:rsid w:val="000C2446"/>
    <w:rsid w:val="000C2FDD"/>
    <w:rsid w:val="000D17D8"/>
    <w:rsid w:val="000D2BCB"/>
    <w:rsid w:val="000D3911"/>
    <w:rsid w:val="000D44AE"/>
    <w:rsid w:val="000E2DB7"/>
    <w:rsid w:val="000E5E38"/>
    <w:rsid w:val="000F1D39"/>
    <w:rsid w:val="000F4775"/>
    <w:rsid w:val="000F62F7"/>
    <w:rsid w:val="00102467"/>
    <w:rsid w:val="001041B8"/>
    <w:rsid w:val="00105CD2"/>
    <w:rsid w:val="00112D9E"/>
    <w:rsid w:val="00117612"/>
    <w:rsid w:val="001217F8"/>
    <w:rsid w:val="0012327B"/>
    <w:rsid w:val="00127190"/>
    <w:rsid w:val="001302EA"/>
    <w:rsid w:val="0013661F"/>
    <w:rsid w:val="00136F76"/>
    <w:rsid w:val="00137AFB"/>
    <w:rsid w:val="001441AF"/>
    <w:rsid w:val="001503B4"/>
    <w:rsid w:val="001566CD"/>
    <w:rsid w:val="0015676C"/>
    <w:rsid w:val="0016296A"/>
    <w:rsid w:val="00176200"/>
    <w:rsid w:val="00184257"/>
    <w:rsid w:val="00184E87"/>
    <w:rsid w:val="001A4A8A"/>
    <w:rsid w:val="001B5E8F"/>
    <w:rsid w:val="001C1CCF"/>
    <w:rsid w:val="001C4500"/>
    <w:rsid w:val="001C6A63"/>
    <w:rsid w:val="001D36F3"/>
    <w:rsid w:val="001F347B"/>
    <w:rsid w:val="001F7708"/>
    <w:rsid w:val="00202562"/>
    <w:rsid w:val="002121EE"/>
    <w:rsid w:val="0021567B"/>
    <w:rsid w:val="002236CF"/>
    <w:rsid w:val="0022403F"/>
    <w:rsid w:val="00227C98"/>
    <w:rsid w:val="00236093"/>
    <w:rsid w:val="00236EB8"/>
    <w:rsid w:val="0024284E"/>
    <w:rsid w:val="00255D90"/>
    <w:rsid w:val="002638B5"/>
    <w:rsid w:val="002662AB"/>
    <w:rsid w:val="0026688B"/>
    <w:rsid w:val="0027031B"/>
    <w:rsid w:val="0027248F"/>
    <w:rsid w:val="002850AC"/>
    <w:rsid w:val="00285C82"/>
    <w:rsid w:val="002913EC"/>
    <w:rsid w:val="00294D46"/>
    <w:rsid w:val="002A15CE"/>
    <w:rsid w:val="002A2527"/>
    <w:rsid w:val="002A5138"/>
    <w:rsid w:val="002A697E"/>
    <w:rsid w:val="002A7C23"/>
    <w:rsid w:val="002B4780"/>
    <w:rsid w:val="002B4835"/>
    <w:rsid w:val="002C2AF2"/>
    <w:rsid w:val="002C3154"/>
    <w:rsid w:val="002C419D"/>
    <w:rsid w:val="002C4ABF"/>
    <w:rsid w:val="002C7831"/>
    <w:rsid w:val="002D17A1"/>
    <w:rsid w:val="002F342F"/>
    <w:rsid w:val="003154B4"/>
    <w:rsid w:val="00316195"/>
    <w:rsid w:val="00316758"/>
    <w:rsid w:val="003167BA"/>
    <w:rsid w:val="003235B1"/>
    <w:rsid w:val="00325F28"/>
    <w:rsid w:val="0033089D"/>
    <w:rsid w:val="00334AB5"/>
    <w:rsid w:val="00342C86"/>
    <w:rsid w:val="0034454B"/>
    <w:rsid w:val="0035153A"/>
    <w:rsid w:val="00366C08"/>
    <w:rsid w:val="00372ED4"/>
    <w:rsid w:val="003753BA"/>
    <w:rsid w:val="003754DF"/>
    <w:rsid w:val="0037575F"/>
    <w:rsid w:val="00375D18"/>
    <w:rsid w:val="00376DC4"/>
    <w:rsid w:val="00384F1D"/>
    <w:rsid w:val="003864C5"/>
    <w:rsid w:val="00387BDE"/>
    <w:rsid w:val="00393E59"/>
    <w:rsid w:val="00395CBF"/>
    <w:rsid w:val="00396EEA"/>
    <w:rsid w:val="003A5C16"/>
    <w:rsid w:val="003B3B91"/>
    <w:rsid w:val="003B6AC3"/>
    <w:rsid w:val="003B7873"/>
    <w:rsid w:val="003B7902"/>
    <w:rsid w:val="003B7A5C"/>
    <w:rsid w:val="003C436E"/>
    <w:rsid w:val="003C4D7A"/>
    <w:rsid w:val="003D4F8C"/>
    <w:rsid w:val="003E01E0"/>
    <w:rsid w:val="003E2B62"/>
    <w:rsid w:val="003E34C2"/>
    <w:rsid w:val="003E79C5"/>
    <w:rsid w:val="003F1808"/>
    <w:rsid w:val="003F467B"/>
    <w:rsid w:val="00401757"/>
    <w:rsid w:val="004108E2"/>
    <w:rsid w:val="00413E60"/>
    <w:rsid w:val="00415311"/>
    <w:rsid w:val="0041561E"/>
    <w:rsid w:val="00421C3E"/>
    <w:rsid w:val="00427F0B"/>
    <w:rsid w:val="00430DD8"/>
    <w:rsid w:val="0043318C"/>
    <w:rsid w:val="004354D3"/>
    <w:rsid w:val="00436A95"/>
    <w:rsid w:val="00440730"/>
    <w:rsid w:val="004414FC"/>
    <w:rsid w:val="004479B5"/>
    <w:rsid w:val="00450F11"/>
    <w:rsid w:val="00456A1E"/>
    <w:rsid w:val="00467CE9"/>
    <w:rsid w:val="004716FA"/>
    <w:rsid w:val="0047228F"/>
    <w:rsid w:val="004749D1"/>
    <w:rsid w:val="004844D6"/>
    <w:rsid w:val="00484B0F"/>
    <w:rsid w:val="00487BA6"/>
    <w:rsid w:val="00494892"/>
    <w:rsid w:val="004A273B"/>
    <w:rsid w:val="004A3213"/>
    <w:rsid w:val="004B5727"/>
    <w:rsid w:val="004C44BA"/>
    <w:rsid w:val="004C46FB"/>
    <w:rsid w:val="004C5DFF"/>
    <w:rsid w:val="004C7802"/>
    <w:rsid w:val="004D0D79"/>
    <w:rsid w:val="004D0DFE"/>
    <w:rsid w:val="004D7453"/>
    <w:rsid w:val="004E308B"/>
    <w:rsid w:val="004F2DEE"/>
    <w:rsid w:val="004F5F3D"/>
    <w:rsid w:val="004F7811"/>
    <w:rsid w:val="00520406"/>
    <w:rsid w:val="0052171F"/>
    <w:rsid w:val="00522E29"/>
    <w:rsid w:val="00524A40"/>
    <w:rsid w:val="00527364"/>
    <w:rsid w:val="00531BD2"/>
    <w:rsid w:val="005345A7"/>
    <w:rsid w:val="00535878"/>
    <w:rsid w:val="00541298"/>
    <w:rsid w:val="005444DB"/>
    <w:rsid w:val="005464D5"/>
    <w:rsid w:val="00546F4D"/>
    <w:rsid w:val="0055411F"/>
    <w:rsid w:val="00556169"/>
    <w:rsid w:val="00560E33"/>
    <w:rsid w:val="00564402"/>
    <w:rsid w:val="00570D01"/>
    <w:rsid w:val="0057216E"/>
    <w:rsid w:val="005765F0"/>
    <w:rsid w:val="00576E5C"/>
    <w:rsid w:val="00577002"/>
    <w:rsid w:val="00580828"/>
    <w:rsid w:val="00583892"/>
    <w:rsid w:val="00586A65"/>
    <w:rsid w:val="00591A81"/>
    <w:rsid w:val="00595030"/>
    <w:rsid w:val="00595C44"/>
    <w:rsid w:val="005A3210"/>
    <w:rsid w:val="005A32C0"/>
    <w:rsid w:val="005B2CCF"/>
    <w:rsid w:val="005C43B3"/>
    <w:rsid w:val="005F02C8"/>
    <w:rsid w:val="005F35B9"/>
    <w:rsid w:val="005F7CFC"/>
    <w:rsid w:val="00600656"/>
    <w:rsid w:val="00600FFF"/>
    <w:rsid w:val="00613D47"/>
    <w:rsid w:val="006154FB"/>
    <w:rsid w:val="00616736"/>
    <w:rsid w:val="00632AAC"/>
    <w:rsid w:val="006366A9"/>
    <w:rsid w:val="00640FDF"/>
    <w:rsid w:val="00642334"/>
    <w:rsid w:val="00643508"/>
    <w:rsid w:val="0065358A"/>
    <w:rsid w:val="006552DB"/>
    <w:rsid w:val="006714B6"/>
    <w:rsid w:val="006718D5"/>
    <w:rsid w:val="00677093"/>
    <w:rsid w:val="00677FE6"/>
    <w:rsid w:val="00686820"/>
    <w:rsid w:val="00691D6A"/>
    <w:rsid w:val="00691D92"/>
    <w:rsid w:val="0069353C"/>
    <w:rsid w:val="00694D44"/>
    <w:rsid w:val="00695169"/>
    <w:rsid w:val="006A0B17"/>
    <w:rsid w:val="006B2A22"/>
    <w:rsid w:val="006C3C28"/>
    <w:rsid w:val="006C4121"/>
    <w:rsid w:val="006D200C"/>
    <w:rsid w:val="006D50E4"/>
    <w:rsid w:val="006D5787"/>
    <w:rsid w:val="006D7365"/>
    <w:rsid w:val="006F1FD6"/>
    <w:rsid w:val="006F24E7"/>
    <w:rsid w:val="006F3211"/>
    <w:rsid w:val="006F536E"/>
    <w:rsid w:val="006F7435"/>
    <w:rsid w:val="0071266E"/>
    <w:rsid w:val="00713B72"/>
    <w:rsid w:val="00717096"/>
    <w:rsid w:val="00721E5D"/>
    <w:rsid w:val="00721F81"/>
    <w:rsid w:val="00734182"/>
    <w:rsid w:val="00734CE5"/>
    <w:rsid w:val="00747E44"/>
    <w:rsid w:val="00756103"/>
    <w:rsid w:val="00774B91"/>
    <w:rsid w:val="007814B2"/>
    <w:rsid w:val="00785A79"/>
    <w:rsid w:val="007925E8"/>
    <w:rsid w:val="007A1472"/>
    <w:rsid w:val="007A25BF"/>
    <w:rsid w:val="007A4357"/>
    <w:rsid w:val="007A4607"/>
    <w:rsid w:val="007A7E10"/>
    <w:rsid w:val="007B08CD"/>
    <w:rsid w:val="007B68B0"/>
    <w:rsid w:val="007C391B"/>
    <w:rsid w:val="007C5556"/>
    <w:rsid w:val="007C6F9C"/>
    <w:rsid w:val="007C717F"/>
    <w:rsid w:val="007E15FA"/>
    <w:rsid w:val="007E181A"/>
    <w:rsid w:val="007E1F00"/>
    <w:rsid w:val="007E359E"/>
    <w:rsid w:val="007E63B4"/>
    <w:rsid w:val="007F048E"/>
    <w:rsid w:val="00806CF4"/>
    <w:rsid w:val="00807195"/>
    <w:rsid w:val="0081230F"/>
    <w:rsid w:val="00812EBF"/>
    <w:rsid w:val="0081433B"/>
    <w:rsid w:val="0081595E"/>
    <w:rsid w:val="00820034"/>
    <w:rsid w:val="00822132"/>
    <w:rsid w:val="00824457"/>
    <w:rsid w:val="008372D2"/>
    <w:rsid w:val="00840990"/>
    <w:rsid w:val="00842F61"/>
    <w:rsid w:val="00844920"/>
    <w:rsid w:val="00847C22"/>
    <w:rsid w:val="00852320"/>
    <w:rsid w:val="00856B37"/>
    <w:rsid w:val="00864024"/>
    <w:rsid w:val="00864C23"/>
    <w:rsid w:val="00873A68"/>
    <w:rsid w:val="00874E7B"/>
    <w:rsid w:val="008770F1"/>
    <w:rsid w:val="00883888"/>
    <w:rsid w:val="0088583F"/>
    <w:rsid w:val="00890258"/>
    <w:rsid w:val="008963BF"/>
    <w:rsid w:val="00896957"/>
    <w:rsid w:val="008A11CE"/>
    <w:rsid w:val="008A281A"/>
    <w:rsid w:val="008A55B4"/>
    <w:rsid w:val="008A68A6"/>
    <w:rsid w:val="008B138A"/>
    <w:rsid w:val="008B22D7"/>
    <w:rsid w:val="008B4EF7"/>
    <w:rsid w:val="008B6DB6"/>
    <w:rsid w:val="008C6A38"/>
    <w:rsid w:val="008E3B40"/>
    <w:rsid w:val="008E447C"/>
    <w:rsid w:val="008E4884"/>
    <w:rsid w:val="008F2345"/>
    <w:rsid w:val="008F4039"/>
    <w:rsid w:val="008F47A7"/>
    <w:rsid w:val="008F5717"/>
    <w:rsid w:val="00900AEB"/>
    <w:rsid w:val="0091695F"/>
    <w:rsid w:val="009175CA"/>
    <w:rsid w:val="00917D85"/>
    <w:rsid w:val="009212A8"/>
    <w:rsid w:val="00921C70"/>
    <w:rsid w:val="00922D7E"/>
    <w:rsid w:val="009274AD"/>
    <w:rsid w:val="00927DD8"/>
    <w:rsid w:val="009330DB"/>
    <w:rsid w:val="009363EE"/>
    <w:rsid w:val="0094149F"/>
    <w:rsid w:val="0094166A"/>
    <w:rsid w:val="00943D82"/>
    <w:rsid w:val="00950CDB"/>
    <w:rsid w:val="00956ADA"/>
    <w:rsid w:val="00971622"/>
    <w:rsid w:val="00982219"/>
    <w:rsid w:val="00983D21"/>
    <w:rsid w:val="009A33A6"/>
    <w:rsid w:val="009A3A80"/>
    <w:rsid w:val="009A48D1"/>
    <w:rsid w:val="009C2960"/>
    <w:rsid w:val="009C3F6B"/>
    <w:rsid w:val="009C542D"/>
    <w:rsid w:val="009C60C6"/>
    <w:rsid w:val="009D772A"/>
    <w:rsid w:val="009F2F51"/>
    <w:rsid w:val="00A026E6"/>
    <w:rsid w:val="00A04349"/>
    <w:rsid w:val="00A05651"/>
    <w:rsid w:val="00A14AEE"/>
    <w:rsid w:val="00A15F7B"/>
    <w:rsid w:val="00A23A11"/>
    <w:rsid w:val="00A25A1C"/>
    <w:rsid w:val="00A26CFD"/>
    <w:rsid w:val="00A32973"/>
    <w:rsid w:val="00A406F0"/>
    <w:rsid w:val="00A43C84"/>
    <w:rsid w:val="00A44E72"/>
    <w:rsid w:val="00A54917"/>
    <w:rsid w:val="00A56AA9"/>
    <w:rsid w:val="00A63F50"/>
    <w:rsid w:val="00A67240"/>
    <w:rsid w:val="00A7195E"/>
    <w:rsid w:val="00A84423"/>
    <w:rsid w:val="00A86BC7"/>
    <w:rsid w:val="00AA0B58"/>
    <w:rsid w:val="00AA0C7E"/>
    <w:rsid w:val="00AA1EF3"/>
    <w:rsid w:val="00AC4353"/>
    <w:rsid w:val="00AD3051"/>
    <w:rsid w:val="00AE50CB"/>
    <w:rsid w:val="00AF0160"/>
    <w:rsid w:val="00AF51F7"/>
    <w:rsid w:val="00AF5368"/>
    <w:rsid w:val="00AF798F"/>
    <w:rsid w:val="00B0095A"/>
    <w:rsid w:val="00B067F7"/>
    <w:rsid w:val="00B142F0"/>
    <w:rsid w:val="00B15A15"/>
    <w:rsid w:val="00B22201"/>
    <w:rsid w:val="00B253CC"/>
    <w:rsid w:val="00B25B48"/>
    <w:rsid w:val="00B31A50"/>
    <w:rsid w:val="00B31DB2"/>
    <w:rsid w:val="00B3542D"/>
    <w:rsid w:val="00B3614A"/>
    <w:rsid w:val="00B42E33"/>
    <w:rsid w:val="00B5018A"/>
    <w:rsid w:val="00B51DF3"/>
    <w:rsid w:val="00B66F4E"/>
    <w:rsid w:val="00B707EC"/>
    <w:rsid w:val="00B73BC2"/>
    <w:rsid w:val="00B74B43"/>
    <w:rsid w:val="00B81202"/>
    <w:rsid w:val="00B83CD2"/>
    <w:rsid w:val="00B90B10"/>
    <w:rsid w:val="00B9496E"/>
    <w:rsid w:val="00BA1764"/>
    <w:rsid w:val="00BA1C20"/>
    <w:rsid w:val="00BA392B"/>
    <w:rsid w:val="00BA4966"/>
    <w:rsid w:val="00BA6B1C"/>
    <w:rsid w:val="00BB0432"/>
    <w:rsid w:val="00BB35ED"/>
    <w:rsid w:val="00BC2F54"/>
    <w:rsid w:val="00BC5937"/>
    <w:rsid w:val="00BD0386"/>
    <w:rsid w:val="00BD45AB"/>
    <w:rsid w:val="00BD4821"/>
    <w:rsid w:val="00BF6F7B"/>
    <w:rsid w:val="00BF7D42"/>
    <w:rsid w:val="00C114A1"/>
    <w:rsid w:val="00C1390B"/>
    <w:rsid w:val="00C1682D"/>
    <w:rsid w:val="00C2249E"/>
    <w:rsid w:val="00C3031C"/>
    <w:rsid w:val="00C306C9"/>
    <w:rsid w:val="00C3205F"/>
    <w:rsid w:val="00C35EF7"/>
    <w:rsid w:val="00C3771E"/>
    <w:rsid w:val="00C43C1A"/>
    <w:rsid w:val="00C44F90"/>
    <w:rsid w:val="00C45D53"/>
    <w:rsid w:val="00C50130"/>
    <w:rsid w:val="00C51A3E"/>
    <w:rsid w:val="00C546A5"/>
    <w:rsid w:val="00C61721"/>
    <w:rsid w:val="00C62E44"/>
    <w:rsid w:val="00C70D89"/>
    <w:rsid w:val="00C83B2E"/>
    <w:rsid w:val="00C848C0"/>
    <w:rsid w:val="00C852F8"/>
    <w:rsid w:val="00C915AF"/>
    <w:rsid w:val="00C94CF1"/>
    <w:rsid w:val="00CA0122"/>
    <w:rsid w:val="00CA091C"/>
    <w:rsid w:val="00CA2370"/>
    <w:rsid w:val="00CB68FA"/>
    <w:rsid w:val="00CC3A4E"/>
    <w:rsid w:val="00CC6BE3"/>
    <w:rsid w:val="00CD1E49"/>
    <w:rsid w:val="00CD25BD"/>
    <w:rsid w:val="00CD41A1"/>
    <w:rsid w:val="00CD52CB"/>
    <w:rsid w:val="00CE1A4B"/>
    <w:rsid w:val="00CE2684"/>
    <w:rsid w:val="00CE77AA"/>
    <w:rsid w:val="00CF09EF"/>
    <w:rsid w:val="00CF389F"/>
    <w:rsid w:val="00CF47EB"/>
    <w:rsid w:val="00CF6F98"/>
    <w:rsid w:val="00D13785"/>
    <w:rsid w:val="00D161C0"/>
    <w:rsid w:val="00D232C8"/>
    <w:rsid w:val="00D25E3F"/>
    <w:rsid w:val="00D26B81"/>
    <w:rsid w:val="00D2783A"/>
    <w:rsid w:val="00D353A6"/>
    <w:rsid w:val="00D428D4"/>
    <w:rsid w:val="00D455A0"/>
    <w:rsid w:val="00D46348"/>
    <w:rsid w:val="00D468B7"/>
    <w:rsid w:val="00D50017"/>
    <w:rsid w:val="00D56F5B"/>
    <w:rsid w:val="00D65058"/>
    <w:rsid w:val="00D65D8F"/>
    <w:rsid w:val="00D67729"/>
    <w:rsid w:val="00D7495A"/>
    <w:rsid w:val="00D87367"/>
    <w:rsid w:val="00D87489"/>
    <w:rsid w:val="00D90596"/>
    <w:rsid w:val="00D93050"/>
    <w:rsid w:val="00DA0DDD"/>
    <w:rsid w:val="00DB4C7B"/>
    <w:rsid w:val="00DC0CB6"/>
    <w:rsid w:val="00DC7CE9"/>
    <w:rsid w:val="00DD47D2"/>
    <w:rsid w:val="00DD7E78"/>
    <w:rsid w:val="00DE4CBA"/>
    <w:rsid w:val="00DE4E70"/>
    <w:rsid w:val="00DE5475"/>
    <w:rsid w:val="00DF338A"/>
    <w:rsid w:val="00DF36A0"/>
    <w:rsid w:val="00E0351C"/>
    <w:rsid w:val="00E047C2"/>
    <w:rsid w:val="00E125BC"/>
    <w:rsid w:val="00E1454B"/>
    <w:rsid w:val="00E20271"/>
    <w:rsid w:val="00E20A84"/>
    <w:rsid w:val="00E20C51"/>
    <w:rsid w:val="00E252DA"/>
    <w:rsid w:val="00E2684E"/>
    <w:rsid w:val="00E32CA1"/>
    <w:rsid w:val="00E35D44"/>
    <w:rsid w:val="00E366FE"/>
    <w:rsid w:val="00E460A8"/>
    <w:rsid w:val="00E50127"/>
    <w:rsid w:val="00E50775"/>
    <w:rsid w:val="00E56160"/>
    <w:rsid w:val="00E651FF"/>
    <w:rsid w:val="00E701D2"/>
    <w:rsid w:val="00E77324"/>
    <w:rsid w:val="00E82519"/>
    <w:rsid w:val="00E831AF"/>
    <w:rsid w:val="00E8321C"/>
    <w:rsid w:val="00E85783"/>
    <w:rsid w:val="00E862EF"/>
    <w:rsid w:val="00E911A8"/>
    <w:rsid w:val="00E92073"/>
    <w:rsid w:val="00E9634E"/>
    <w:rsid w:val="00EB1646"/>
    <w:rsid w:val="00EB4A37"/>
    <w:rsid w:val="00EC3F2D"/>
    <w:rsid w:val="00EC7915"/>
    <w:rsid w:val="00ED24A3"/>
    <w:rsid w:val="00ED24C2"/>
    <w:rsid w:val="00ED2B90"/>
    <w:rsid w:val="00ED7A31"/>
    <w:rsid w:val="00EE39B4"/>
    <w:rsid w:val="00EE78F3"/>
    <w:rsid w:val="00EE7F4F"/>
    <w:rsid w:val="00EF1E9D"/>
    <w:rsid w:val="00EF3EDB"/>
    <w:rsid w:val="00EF448D"/>
    <w:rsid w:val="00EF7232"/>
    <w:rsid w:val="00F026F7"/>
    <w:rsid w:val="00F0731D"/>
    <w:rsid w:val="00F07CE6"/>
    <w:rsid w:val="00F12311"/>
    <w:rsid w:val="00F13898"/>
    <w:rsid w:val="00F1538A"/>
    <w:rsid w:val="00F2268F"/>
    <w:rsid w:val="00F22E0B"/>
    <w:rsid w:val="00F32ED9"/>
    <w:rsid w:val="00F3450C"/>
    <w:rsid w:val="00F36932"/>
    <w:rsid w:val="00F5108D"/>
    <w:rsid w:val="00F53340"/>
    <w:rsid w:val="00F54D06"/>
    <w:rsid w:val="00F55E26"/>
    <w:rsid w:val="00F63F84"/>
    <w:rsid w:val="00F6673E"/>
    <w:rsid w:val="00F70AFE"/>
    <w:rsid w:val="00F7618A"/>
    <w:rsid w:val="00F831BE"/>
    <w:rsid w:val="00F8488E"/>
    <w:rsid w:val="00F878D0"/>
    <w:rsid w:val="00F92222"/>
    <w:rsid w:val="00FA1136"/>
    <w:rsid w:val="00FA3A74"/>
    <w:rsid w:val="00FA4348"/>
    <w:rsid w:val="00FA6D51"/>
    <w:rsid w:val="00FB0B11"/>
    <w:rsid w:val="00FB104E"/>
    <w:rsid w:val="00FB1C2A"/>
    <w:rsid w:val="00FC536E"/>
    <w:rsid w:val="00FC6FEE"/>
    <w:rsid w:val="00FC7678"/>
    <w:rsid w:val="00FD0C73"/>
    <w:rsid w:val="00FD10F8"/>
    <w:rsid w:val="00FD2A59"/>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AEAD23"/>
  <w15:docId w15:val="{E9067661-C54B-4119-81A5-EEF5D77E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39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808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A281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A281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94CF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4CF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B2D"/>
    <w:rPr>
      <w:rFonts w:ascii="Tahoma" w:hAnsi="Tahoma" w:cs="Tahoma"/>
      <w:sz w:val="16"/>
      <w:szCs w:val="16"/>
    </w:rPr>
  </w:style>
  <w:style w:type="paragraph" w:styleId="Header">
    <w:name w:val="header"/>
    <w:basedOn w:val="Normal"/>
    <w:link w:val="HeaderChar"/>
    <w:uiPriority w:val="99"/>
    <w:unhideWhenUsed/>
    <w:rsid w:val="00A86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BC7"/>
  </w:style>
  <w:style w:type="paragraph" w:styleId="Footer">
    <w:name w:val="footer"/>
    <w:basedOn w:val="Normal"/>
    <w:link w:val="FooterChar"/>
    <w:uiPriority w:val="99"/>
    <w:unhideWhenUsed/>
    <w:rsid w:val="00A86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BC7"/>
  </w:style>
  <w:style w:type="character" w:customStyle="1" w:styleId="Heading1Char">
    <w:name w:val="Heading 1 Char"/>
    <w:basedOn w:val="DefaultParagraphFont"/>
    <w:link w:val="Heading1"/>
    <w:uiPriority w:val="9"/>
    <w:rsid w:val="00C1390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1390B"/>
    <w:pPr>
      <w:spacing w:line="259" w:lineRule="auto"/>
      <w:outlineLvl w:val="9"/>
    </w:pPr>
  </w:style>
  <w:style w:type="character" w:customStyle="1" w:styleId="Heading2Char">
    <w:name w:val="Heading 2 Char"/>
    <w:basedOn w:val="DefaultParagraphFont"/>
    <w:link w:val="Heading2"/>
    <w:uiPriority w:val="9"/>
    <w:rsid w:val="00580828"/>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F22E0B"/>
    <w:pPr>
      <w:spacing w:after="100"/>
    </w:pPr>
  </w:style>
  <w:style w:type="paragraph" w:styleId="TOC2">
    <w:name w:val="toc 2"/>
    <w:basedOn w:val="Normal"/>
    <w:next w:val="Normal"/>
    <w:autoRedefine/>
    <w:uiPriority w:val="39"/>
    <w:unhideWhenUsed/>
    <w:rsid w:val="00F22E0B"/>
    <w:pPr>
      <w:spacing w:after="100"/>
      <w:ind w:left="220"/>
    </w:pPr>
  </w:style>
  <w:style w:type="character" w:styleId="Hyperlink">
    <w:name w:val="Hyperlink"/>
    <w:basedOn w:val="DefaultParagraphFont"/>
    <w:uiPriority w:val="99"/>
    <w:unhideWhenUsed/>
    <w:rsid w:val="00F22E0B"/>
    <w:rPr>
      <w:color w:val="0000FF" w:themeColor="hyperlink"/>
      <w:u w:val="single"/>
    </w:rPr>
  </w:style>
  <w:style w:type="paragraph" w:styleId="NormalWeb">
    <w:name w:val="Normal (Web)"/>
    <w:basedOn w:val="Normal"/>
    <w:uiPriority w:val="99"/>
    <w:unhideWhenUsed/>
    <w:rsid w:val="00CB68F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39"/>
    <w:rsid w:val="00D45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D455A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D455A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styleId="CommentReference">
    <w:name w:val="annotation reference"/>
    <w:basedOn w:val="DefaultParagraphFont"/>
    <w:uiPriority w:val="99"/>
    <w:semiHidden/>
    <w:unhideWhenUsed/>
    <w:rsid w:val="006366A9"/>
    <w:rPr>
      <w:sz w:val="16"/>
      <w:szCs w:val="16"/>
    </w:rPr>
  </w:style>
  <w:style w:type="paragraph" w:styleId="CommentText">
    <w:name w:val="annotation text"/>
    <w:basedOn w:val="Normal"/>
    <w:link w:val="CommentTextChar"/>
    <w:uiPriority w:val="99"/>
    <w:semiHidden/>
    <w:unhideWhenUsed/>
    <w:rsid w:val="006366A9"/>
    <w:pPr>
      <w:spacing w:line="240" w:lineRule="auto"/>
    </w:pPr>
    <w:rPr>
      <w:sz w:val="20"/>
      <w:szCs w:val="20"/>
    </w:rPr>
  </w:style>
  <w:style w:type="character" w:customStyle="1" w:styleId="CommentTextChar">
    <w:name w:val="Comment Text Char"/>
    <w:basedOn w:val="DefaultParagraphFont"/>
    <w:link w:val="CommentText"/>
    <w:uiPriority w:val="99"/>
    <w:semiHidden/>
    <w:rsid w:val="006366A9"/>
    <w:rPr>
      <w:sz w:val="20"/>
      <w:szCs w:val="20"/>
    </w:rPr>
  </w:style>
  <w:style w:type="paragraph" w:styleId="CommentSubject">
    <w:name w:val="annotation subject"/>
    <w:basedOn w:val="CommentText"/>
    <w:next w:val="CommentText"/>
    <w:link w:val="CommentSubjectChar"/>
    <w:uiPriority w:val="99"/>
    <w:semiHidden/>
    <w:unhideWhenUsed/>
    <w:rsid w:val="006366A9"/>
    <w:rPr>
      <w:b/>
      <w:bCs/>
    </w:rPr>
  </w:style>
  <w:style w:type="character" w:customStyle="1" w:styleId="CommentSubjectChar">
    <w:name w:val="Comment Subject Char"/>
    <w:basedOn w:val="CommentTextChar"/>
    <w:link w:val="CommentSubject"/>
    <w:uiPriority w:val="99"/>
    <w:semiHidden/>
    <w:rsid w:val="006366A9"/>
    <w:rPr>
      <w:b/>
      <w:bCs/>
      <w:sz w:val="20"/>
      <w:szCs w:val="20"/>
    </w:rPr>
  </w:style>
  <w:style w:type="character" w:customStyle="1" w:styleId="Heading3Char">
    <w:name w:val="Heading 3 Char"/>
    <w:basedOn w:val="DefaultParagraphFont"/>
    <w:link w:val="Heading3"/>
    <w:uiPriority w:val="9"/>
    <w:rsid w:val="008A281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A281A"/>
    <w:rPr>
      <w:rFonts w:asciiTheme="majorHAnsi" w:eastAsiaTheme="majorEastAsia" w:hAnsiTheme="majorHAnsi" w:cstheme="majorBidi"/>
      <w:i/>
      <w:iCs/>
      <w:color w:val="365F91" w:themeColor="accent1" w:themeShade="BF"/>
    </w:rPr>
  </w:style>
  <w:style w:type="paragraph" w:customStyle="1" w:styleId="Default">
    <w:name w:val="Default"/>
    <w:rsid w:val="00C852F8"/>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aliases w:val="Normal bullets,Heading 21"/>
    <w:basedOn w:val="Normal"/>
    <w:link w:val="ListParagraphChar"/>
    <w:uiPriority w:val="34"/>
    <w:qFormat/>
    <w:rsid w:val="00BF7D42"/>
    <w:pPr>
      <w:ind w:left="720"/>
      <w:contextualSpacing/>
    </w:pPr>
    <w:rPr>
      <w:rFonts w:ascii="Calibri" w:eastAsia="Calibri" w:hAnsi="Calibri" w:cs="Times New Roman"/>
    </w:rPr>
  </w:style>
  <w:style w:type="character" w:customStyle="1" w:styleId="ListParagraphChar">
    <w:name w:val="List Paragraph Char"/>
    <w:aliases w:val="Normal bullets Char,Heading 21 Char"/>
    <w:link w:val="ListParagraph"/>
    <w:uiPriority w:val="34"/>
    <w:locked/>
    <w:rsid w:val="00BF7D42"/>
    <w:rPr>
      <w:rFonts w:ascii="Calibri" w:eastAsia="Calibri" w:hAnsi="Calibri" w:cs="Times New Roman"/>
    </w:rPr>
  </w:style>
  <w:style w:type="paragraph" w:styleId="FootnoteText">
    <w:name w:val="footnote text"/>
    <w:basedOn w:val="Normal"/>
    <w:link w:val="FootnoteTextChar"/>
    <w:uiPriority w:val="99"/>
    <w:semiHidden/>
    <w:unhideWhenUsed/>
    <w:rsid w:val="00F922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2222"/>
    <w:rPr>
      <w:sz w:val="20"/>
      <w:szCs w:val="20"/>
    </w:rPr>
  </w:style>
  <w:style w:type="character" w:styleId="FootnoteReference">
    <w:name w:val="footnote reference"/>
    <w:basedOn w:val="DefaultParagraphFont"/>
    <w:uiPriority w:val="99"/>
    <w:semiHidden/>
    <w:unhideWhenUsed/>
    <w:rsid w:val="00F92222"/>
    <w:rPr>
      <w:vertAlign w:val="superscript"/>
    </w:rPr>
  </w:style>
  <w:style w:type="table" w:styleId="PlainTable1">
    <w:name w:val="Plain Table 1"/>
    <w:basedOn w:val="TableNormal"/>
    <w:uiPriority w:val="41"/>
    <w:rsid w:val="00456A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C94CF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C94CF1"/>
    <w:rPr>
      <w:rFonts w:asciiTheme="majorHAnsi" w:eastAsiaTheme="majorEastAsia" w:hAnsiTheme="majorHAnsi" w:cstheme="majorBidi"/>
      <w:color w:val="243F60" w:themeColor="accent1" w:themeShade="7F"/>
    </w:rPr>
  </w:style>
  <w:style w:type="paragraph" w:customStyle="1" w:styleId="Pa2">
    <w:name w:val="Pa2"/>
    <w:basedOn w:val="Normal"/>
    <w:next w:val="Normal"/>
    <w:rsid w:val="00C94CF1"/>
    <w:pPr>
      <w:autoSpaceDE w:val="0"/>
      <w:autoSpaceDN w:val="0"/>
      <w:adjustRightInd w:val="0"/>
      <w:spacing w:after="0" w:line="241" w:lineRule="atLeast"/>
    </w:pPr>
    <w:rPr>
      <w:rFonts w:ascii="Arial" w:eastAsia="Times New Roman" w:hAnsi="Arial" w:cs="Times New Roman"/>
      <w:sz w:val="24"/>
      <w:szCs w:val="24"/>
    </w:rPr>
  </w:style>
  <w:style w:type="character" w:customStyle="1" w:styleId="A2">
    <w:name w:val="A2"/>
    <w:rsid w:val="00C94CF1"/>
    <w:rPr>
      <w:rFonts w:cs="Arial"/>
      <w:color w:val="626365"/>
      <w:sz w:val="16"/>
      <w:szCs w:val="16"/>
    </w:rPr>
  </w:style>
  <w:style w:type="character" w:styleId="Strong">
    <w:name w:val="Strong"/>
    <w:basedOn w:val="DefaultParagraphFont"/>
    <w:uiPriority w:val="22"/>
    <w:qFormat/>
    <w:rsid w:val="00C94CF1"/>
    <w:rPr>
      <w:b/>
      <w:bCs/>
      <w:caps w:val="0"/>
      <w:smallCaps w:val="0"/>
    </w:rPr>
  </w:style>
  <w:style w:type="paragraph" w:customStyle="1" w:styleId="Bullet1paragraph">
    <w:name w:val="Bullet 1 (paragraph)"/>
    <w:basedOn w:val="ListParagraph"/>
    <w:link w:val="Bullet1paragraphChar"/>
    <w:qFormat/>
    <w:rsid w:val="00C94CF1"/>
    <w:pPr>
      <w:numPr>
        <w:numId w:val="5"/>
      </w:numPr>
      <w:spacing w:after="60"/>
    </w:pPr>
  </w:style>
  <w:style w:type="paragraph" w:customStyle="1" w:styleId="Strong2">
    <w:name w:val="Strong 2"/>
    <w:basedOn w:val="Normal"/>
    <w:link w:val="Strong2Char"/>
    <w:qFormat/>
    <w:rsid w:val="00C94CF1"/>
    <w:pPr>
      <w:spacing w:after="0"/>
      <w:jc w:val="center"/>
    </w:pPr>
    <w:rPr>
      <w:rFonts w:ascii="Calibri" w:eastAsia="Calibri" w:hAnsi="Calibri" w:cs="Times New Roman"/>
      <w:smallCaps/>
    </w:rPr>
  </w:style>
  <w:style w:type="character" w:customStyle="1" w:styleId="Bullet1paragraphChar">
    <w:name w:val="Bullet 1 (paragraph) Char"/>
    <w:basedOn w:val="ListParagraphChar"/>
    <w:link w:val="Bullet1paragraph"/>
    <w:rsid w:val="00C94CF1"/>
    <w:rPr>
      <w:rFonts w:ascii="Calibri" w:eastAsia="Calibri" w:hAnsi="Calibri" w:cs="Times New Roman"/>
    </w:rPr>
  </w:style>
  <w:style w:type="character" w:styleId="BookTitle">
    <w:name w:val="Book Title"/>
    <w:basedOn w:val="DefaultParagraphFont"/>
    <w:uiPriority w:val="33"/>
    <w:qFormat/>
    <w:rsid w:val="00C94CF1"/>
    <w:rPr>
      <w:b/>
      <w:bCs/>
      <w:i/>
      <w:iCs/>
      <w:spacing w:val="5"/>
    </w:rPr>
  </w:style>
  <w:style w:type="character" w:customStyle="1" w:styleId="Strong2Char">
    <w:name w:val="Strong 2 Char"/>
    <w:basedOn w:val="DefaultParagraphFont"/>
    <w:link w:val="Strong2"/>
    <w:rsid w:val="00C94CF1"/>
    <w:rPr>
      <w:rFonts w:ascii="Calibri" w:eastAsia="Calibri" w:hAnsi="Calibri" w:cs="Times New Roman"/>
      <w:smallCaps/>
    </w:rPr>
  </w:style>
  <w:style w:type="character" w:styleId="IntenseEmphasis">
    <w:name w:val="Intense Emphasis"/>
    <w:uiPriority w:val="21"/>
    <w:qFormat/>
    <w:rsid w:val="00C94CF1"/>
    <w:rPr>
      <w:b/>
      <w:bCs/>
      <w:caps/>
      <w:color w:val="984806" w:themeColor="accent6" w:themeShade="80"/>
      <w:spacing w:val="10"/>
    </w:rPr>
  </w:style>
  <w:style w:type="character" w:styleId="SubtleEmphasis">
    <w:name w:val="Subtle Emphasis"/>
    <w:uiPriority w:val="19"/>
    <w:qFormat/>
    <w:rsid w:val="00C94CF1"/>
    <w:rPr>
      <w:i/>
      <w:iCs/>
      <w:color w:val="984806" w:themeColor="accent6" w:themeShade="80"/>
    </w:rPr>
  </w:style>
  <w:style w:type="character" w:styleId="SubtleReference">
    <w:name w:val="Subtle Reference"/>
    <w:uiPriority w:val="31"/>
    <w:qFormat/>
    <w:rsid w:val="00C94CF1"/>
    <w:rPr>
      <w:b/>
      <w:bCs/>
      <w:color w:val="F79646" w:themeColor="accent6"/>
    </w:rPr>
  </w:style>
  <w:style w:type="paragraph" w:customStyle="1" w:styleId="Bullet2List">
    <w:name w:val="Bullet 2 (List)"/>
    <w:basedOn w:val="ListParagraph"/>
    <w:link w:val="Bullet2ListChar"/>
    <w:qFormat/>
    <w:rsid w:val="00C94CF1"/>
    <w:pPr>
      <w:numPr>
        <w:numId w:val="6"/>
      </w:numPr>
    </w:pPr>
    <w:rPr>
      <w:lang w:val="en-CA"/>
    </w:rPr>
  </w:style>
  <w:style w:type="paragraph" w:styleId="NoSpacing">
    <w:name w:val="No Spacing"/>
    <w:link w:val="NoSpacingChar"/>
    <w:uiPriority w:val="1"/>
    <w:qFormat/>
    <w:rsid w:val="00C94CF1"/>
    <w:pPr>
      <w:spacing w:after="60" w:line="240" w:lineRule="auto"/>
    </w:pPr>
    <w:rPr>
      <w:rFonts w:ascii="Calibri" w:eastAsia="Calibri" w:hAnsi="Calibri" w:cs="Times New Roman"/>
    </w:rPr>
  </w:style>
  <w:style w:type="character" w:customStyle="1" w:styleId="Bullet2ListChar">
    <w:name w:val="Bullet 2 (List) Char"/>
    <w:basedOn w:val="ListParagraphChar"/>
    <w:link w:val="Bullet2List"/>
    <w:rsid w:val="00C94CF1"/>
    <w:rPr>
      <w:rFonts w:ascii="Calibri" w:eastAsia="Calibri" w:hAnsi="Calibri" w:cs="Times New Roman"/>
      <w:lang w:val="en-CA"/>
    </w:rPr>
  </w:style>
  <w:style w:type="table" w:customStyle="1" w:styleId="GridTable4-Accent51">
    <w:name w:val="Grid Table 4 - Accent 51"/>
    <w:basedOn w:val="TableNormal"/>
    <w:uiPriority w:val="49"/>
    <w:rsid w:val="00C94CF1"/>
    <w:pPr>
      <w:spacing w:before="100" w:after="0" w:line="240" w:lineRule="auto"/>
    </w:pPr>
    <w:rPr>
      <w:rFonts w:eastAsiaTheme="minorEastAsia"/>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94CF1"/>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1">
    <w:name w:val="Grid Table 4 Accent 1"/>
    <w:basedOn w:val="TableNormal"/>
    <w:uiPriority w:val="49"/>
    <w:rsid w:val="00C94CF1"/>
    <w:pPr>
      <w:spacing w:before="100" w:after="0" w:line="240" w:lineRule="auto"/>
    </w:pPr>
    <w:rPr>
      <w:rFonts w:eastAsiaTheme="minorEastAsia"/>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94CF1"/>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ListBullet2">
    <w:name w:val="List Bullet 2"/>
    <w:basedOn w:val="Normal"/>
    <w:uiPriority w:val="36"/>
    <w:unhideWhenUsed/>
    <w:qFormat/>
    <w:rsid w:val="00C94CF1"/>
    <w:pPr>
      <w:spacing w:after="60"/>
      <w:ind w:left="1211" w:hanging="360"/>
    </w:pPr>
    <w:rPr>
      <w:rFonts w:ascii="Calibri" w:eastAsiaTheme="minorEastAsia" w:hAnsi="Calibri"/>
      <w:szCs w:val="20"/>
    </w:rPr>
  </w:style>
  <w:style w:type="table" w:styleId="GridTable4-Accent5">
    <w:name w:val="Grid Table 4 Accent 5"/>
    <w:basedOn w:val="TableNormal"/>
    <w:uiPriority w:val="49"/>
    <w:rsid w:val="00C94CF1"/>
    <w:pPr>
      <w:spacing w:before="100" w:after="0" w:line="240" w:lineRule="auto"/>
    </w:pPr>
    <w:rPr>
      <w:rFonts w:eastAsiaTheme="minorEastAsia"/>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3">
    <w:name w:val="Grid Table 4 Accent 3"/>
    <w:basedOn w:val="TableNormal"/>
    <w:uiPriority w:val="49"/>
    <w:rsid w:val="00C94CF1"/>
    <w:pPr>
      <w:spacing w:before="100" w:after="0" w:line="240" w:lineRule="auto"/>
    </w:pPr>
    <w:rPr>
      <w:rFonts w:eastAsiaTheme="minorEastAsia"/>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94CF1"/>
    <w:pPr>
      <w:spacing w:before="100" w:after="0" w:line="240" w:lineRule="auto"/>
    </w:pPr>
    <w:rPr>
      <w:rFonts w:eastAsiaTheme="minorEastAsia"/>
      <w:sz w:val="20"/>
      <w:szCs w:val="20"/>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5Dark-Accent4">
    <w:name w:val="Grid Table 5 Dark Accent 4"/>
    <w:basedOn w:val="TableNormal"/>
    <w:uiPriority w:val="50"/>
    <w:rsid w:val="00C94CF1"/>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styleId="Quote">
    <w:name w:val="Quote"/>
    <w:basedOn w:val="Normal"/>
    <w:next w:val="Normal"/>
    <w:link w:val="QuoteChar"/>
    <w:uiPriority w:val="29"/>
    <w:qFormat/>
    <w:rsid w:val="00C94CF1"/>
    <w:pPr>
      <w:spacing w:before="200" w:after="160"/>
      <w:ind w:left="864" w:right="864"/>
      <w:jc w:val="center"/>
    </w:pPr>
    <w:rPr>
      <w:rFonts w:ascii="Calibri" w:eastAsia="Calibri" w:hAnsi="Calibri" w:cs="Times New Roman"/>
      <w:i/>
      <w:iCs/>
      <w:color w:val="404040" w:themeColor="text1" w:themeTint="BF"/>
    </w:rPr>
  </w:style>
  <w:style w:type="character" w:customStyle="1" w:styleId="QuoteChar">
    <w:name w:val="Quote Char"/>
    <w:basedOn w:val="DefaultParagraphFont"/>
    <w:link w:val="Quote"/>
    <w:uiPriority w:val="29"/>
    <w:rsid w:val="00C94CF1"/>
    <w:rPr>
      <w:rFonts w:ascii="Calibri" w:eastAsia="Calibri" w:hAnsi="Calibri" w:cs="Times New Roman"/>
      <w:i/>
      <w:iCs/>
      <w:color w:val="404040" w:themeColor="text1" w:themeTint="BF"/>
    </w:rPr>
  </w:style>
  <w:style w:type="character" w:styleId="Emphasis">
    <w:name w:val="Emphasis"/>
    <w:basedOn w:val="DefaultParagraphFont"/>
    <w:uiPriority w:val="20"/>
    <w:qFormat/>
    <w:rsid w:val="00C94CF1"/>
    <w:rPr>
      <w:i/>
      <w:iCs/>
    </w:rPr>
  </w:style>
  <w:style w:type="paragraph" w:customStyle="1" w:styleId="bullet1">
    <w:name w:val="bullet 1"/>
    <w:basedOn w:val="Normal"/>
    <w:rsid w:val="00C94CF1"/>
    <w:pPr>
      <w:numPr>
        <w:numId w:val="7"/>
      </w:numPr>
      <w:spacing w:after="120" w:line="280" w:lineRule="atLeast"/>
      <w:jc w:val="both"/>
    </w:pPr>
    <w:rPr>
      <w:rFonts w:eastAsia="Times New Roman" w:cs="Times New Roman"/>
      <w:color w:val="333333"/>
      <w:szCs w:val="24"/>
    </w:rPr>
  </w:style>
  <w:style w:type="table" w:styleId="GridTable5Dark-Accent6">
    <w:name w:val="Grid Table 5 Dark Accent 6"/>
    <w:basedOn w:val="TableNormal"/>
    <w:uiPriority w:val="50"/>
    <w:rsid w:val="00C94CF1"/>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2-Accent6">
    <w:name w:val="Grid Table 2 Accent 6"/>
    <w:basedOn w:val="TableNormal"/>
    <w:uiPriority w:val="47"/>
    <w:rsid w:val="00C94CF1"/>
    <w:pPr>
      <w:spacing w:after="0" w:line="240" w:lineRule="auto"/>
    </w:pPr>
    <w:rPr>
      <w:rFonts w:ascii="Calibri" w:eastAsia="Calibri" w:hAnsi="Calibri" w:cs="Times New Roman"/>
      <w:sz w:val="20"/>
      <w:szCs w:val="20"/>
      <w:lang w:val="en-CA" w:eastAsia="en-CA"/>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Accent3">
    <w:name w:val="Grid Table 3 Accent 3"/>
    <w:basedOn w:val="TableNormal"/>
    <w:uiPriority w:val="48"/>
    <w:rsid w:val="00C94CF1"/>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5Dark-Accent3">
    <w:name w:val="Grid Table 5 Dark Accent 3"/>
    <w:basedOn w:val="TableNormal"/>
    <w:uiPriority w:val="50"/>
    <w:rsid w:val="00C94CF1"/>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IntenseReference">
    <w:name w:val="Intense Reference"/>
    <w:basedOn w:val="DefaultParagraphFont"/>
    <w:uiPriority w:val="32"/>
    <w:qFormat/>
    <w:rsid w:val="00C94CF1"/>
    <w:rPr>
      <w:b/>
      <w:bCs/>
      <w:smallCaps/>
      <w:color w:val="4F81BD" w:themeColor="accent1"/>
      <w:spacing w:val="5"/>
    </w:rPr>
  </w:style>
  <w:style w:type="paragraph" w:styleId="ListBullet">
    <w:name w:val="List Bullet"/>
    <w:basedOn w:val="Normal"/>
    <w:uiPriority w:val="99"/>
    <w:rsid w:val="00C94CF1"/>
    <w:pPr>
      <w:numPr>
        <w:numId w:val="8"/>
      </w:numPr>
      <w:spacing w:after="120" w:line="240" w:lineRule="auto"/>
      <w:jc w:val="both"/>
    </w:pPr>
    <w:rPr>
      <w:rFonts w:ascii="Calibri" w:eastAsia="Times New Roman" w:hAnsi="Calibri" w:cs="Times New Roman"/>
      <w:szCs w:val="24"/>
    </w:rPr>
  </w:style>
  <w:style w:type="character" w:customStyle="1" w:styleId="TextChar">
    <w:name w:val="Text Char"/>
    <w:basedOn w:val="DefaultParagraphFont"/>
    <w:link w:val="Text"/>
    <w:locked/>
    <w:rsid w:val="00C94CF1"/>
    <w:rPr>
      <w:rFonts w:ascii="Arial" w:hAnsi="Arial" w:cs="Arial"/>
      <w:color w:val="333333"/>
    </w:rPr>
  </w:style>
  <w:style w:type="paragraph" w:customStyle="1" w:styleId="Text">
    <w:name w:val="Text"/>
    <w:basedOn w:val="Normal"/>
    <w:link w:val="TextChar"/>
    <w:rsid w:val="00C94CF1"/>
    <w:pPr>
      <w:spacing w:after="0" w:line="280" w:lineRule="atLeast"/>
      <w:jc w:val="both"/>
    </w:pPr>
    <w:rPr>
      <w:rFonts w:ascii="Arial" w:hAnsi="Arial" w:cs="Arial"/>
      <w:color w:val="333333"/>
    </w:rPr>
  </w:style>
  <w:style w:type="character" w:customStyle="1" w:styleId="textboldblueChar">
    <w:name w:val="text bold blue Char"/>
    <w:basedOn w:val="DefaultParagraphFont"/>
    <w:link w:val="textboldblue"/>
    <w:locked/>
    <w:rsid w:val="00C94CF1"/>
    <w:rPr>
      <w:rFonts w:ascii="Arial" w:hAnsi="Arial" w:cs="Arial"/>
      <w:b/>
      <w:bCs/>
      <w:color w:val="34A1E9"/>
    </w:rPr>
  </w:style>
  <w:style w:type="paragraph" w:customStyle="1" w:styleId="textboldblue">
    <w:name w:val="text bold blue"/>
    <w:basedOn w:val="Normal"/>
    <w:link w:val="textboldblueChar"/>
    <w:rsid w:val="00C94CF1"/>
    <w:pPr>
      <w:spacing w:after="0" w:line="280" w:lineRule="atLeast"/>
      <w:jc w:val="both"/>
    </w:pPr>
    <w:rPr>
      <w:rFonts w:ascii="Arial" w:hAnsi="Arial" w:cs="Arial"/>
      <w:b/>
      <w:bCs/>
      <w:color w:val="34A1E9"/>
    </w:rPr>
  </w:style>
  <w:style w:type="paragraph" w:styleId="TOAHeading">
    <w:name w:val="toa heading"/>
    <w:basedOn w:val="Normal"/>
    <w:next w:val="Normal"/>
    <w:uiPriority w:val="99"/>
    <w:semiHidden/>
    <w:unhideWhenUsed/>
    <w:rsid w:val="00C94CF1"/>
    <w:pPr>
      <w:tabs>
        <w:tab w:val="left" w:pos="9000"/>
        <w:tab w:val="right" w:pos="9360"/>
      </w:tabs>
      <w:suppressAutoHyphens/>
      <w:spacing w:after="0" w:line="240" w:lineRule="auto"/>
    </w:pPr>
    <w:rPr>
      <w:rFonts w:ascii="Times New Roman" w:eastAsia="Times New Roman" w:hAnsi="Times New Roman" w:cs="Times New Roman"/>
      <w:sz w:val="24"/>
      <w:szCs w:val="20"/>
    </w:rPr>
  </w:style>
  <w:style w:type="paragraph" w:customStyle="1" w:styleId="MessageHeaderFirst">
    <w:name w:val="Message Header First"/>
    <w:basedOn w:val="MessageHeader"/>
    <w:next w:val="MessageHeader"/>
    <w:rsid w:val="00C94CF1"/>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eastAsia="Times New Roman" w:hAnsi="Garamond" w:cs="Times New Roman"/>
      <w:caps/>
      <w:sz w:val="18"/>
      <w:szCs w:val="20"/>
    </w:rPr>
  </w:style>
  <w:style w:type="character" w:customStyle="1" w:styleId="MessageHeaderLabel">
    <w:name w:val="Message Header Label"/>
    <w:rsid w:val="00C94CF1"/>
    <w:rPr>
      <w:b/>
      <w:sz w:val="18"/>
    </w:rPr>
  </w:style>
  <w:style w:type="paragraph" w:styleId="MessageHeader">
    <w:name w:val="Message Header"/>
    <w:basedOn w:val="Normal"/>
    <w:link w:val="MessageHeaderChar"/>
    <w:uiPriority w:val="99"/>
    <w:semiHidden/>
    <w:unhideWhenUsed/>
    <w:rsid w:val="00C94CF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94CF1"/>
    <w:rPr>
      <w:rFonts w:asciiTheme="majorHAnsi" w:eastAsiaTheme="majorEastAsia" w:hAnsiTheme="majorHAnsi" w:cstheme="majorBidi"/>
      <w:sz w:val="24"/>
      <w:szCs w:val="24"/>
      <w:shd w:val="pct20" w:color="auto" w:fill="auto"/>
    </w:rPr>
  </w:style>
  <w:style w:type="paragraph" w:styleId="TOC3">
    <w:name w:val="toc 3"/>
    <w:basedOn w:val="Normal"/>
    <w:next w:val="Normal"/>
    <w:autoRedefine/>
    <w:uiPriority w:val="39"/>
    <w:unhideWhenUsed/>
    <w:rsid w:val="00C94CF1"/>
    <w:pPr>
      <w:spacing w:after="100"/>
      <w:ind w:firstLine="386"/>
    </w:pPr>
    <w:rPr>
      <w:rFonts w:ascii="Calibri" w:eastAsia="Calibri" w:hAnsi="Calibri" w:cs="Times New Roman"/>
    </w:rPr>
  </w:style>
  <w:style w:type="paragraph" w:customStyle="1" w:styleId="tabletextleftjust">
    <w:name w:val="table text (left just)"/>
    <w:basedOn w:val="Normal"/>
    <w:rsid w:val="00C94CF1"/>
    <w:pPr>
      <w:spacing w:before="80" w:after="80" w:line="240" w:lineRule="auto"/>
    </w:pPr>
    <w:rPr>
      <w:rFonts w:ascii="Arial" w:eastAsia="Times New Roman" w:hAnsi="Arial" w:cs="Times New Roman"/>
      <w:b/>
      <w:bCs/>
      <w:sz w:val="20"/>
      <w:szCs w:val="20"/>
    </w:rPr>
  </w:style>
  <w:style w:type="character" w:customStyle="1" w:styleId="apple-style-span">
    <w:name w:val="apple-style-span"/>
    <w:basedOn w:val="DefaultParagraphFont"/>
    <w:rsid w:val="00C94CF1"/>
  </w:style>
  <w:style w:type="paragraph" w:styleId="BodyText2">
    <w:name w:val="Body Text 2"/>
    <w:basedOn w:val="Normal"/>
    <w:link w:val="BodyText2Char"/>
    <w:uiPriority w:val="99"/>
    <w:rsid w:val="00C94CF1"/>
    <w:pPr>
      <w:spacing w:after="0" w:line="240" w:lineRule="auto"/>
    </w:pPr>
    <w:rPr>
      <w:rFonts w:ascii="Arial" w:eastAsia="Times New Roman" w:hAnsi="Arial" w:cs="Times New Roman"/>
      <w:snapToGrid w:val="0"/>
      <w:color w:val="000080"/>
      <w:sz w:val="24"/>
      <w:szCs w:val="20"/>
    </w:rPr>
  </w:style>
  <w:style w:type="character" w:customStyle="1" w:styleId="BodyText2Char">
    <w:name w:val="Body Text 2 Char"/>
    <w:basedOn w:val="DefaultParagraphFont"/>
    <w:link w:val="BodyText2"/>
    <w:uiPriority w:val="99"/>
    <w:rsid w:val="00C94CF1"/>
    <w:rPr>
      <w:rFonts w:ascii="Arial" w:eastAsia="Times New Roman" w:hAnsi="Arial" w:cs="Times New Roman"/>
      <w:snapToGrid w:val="0"/>
      <w:color w:val="000080"/>
      <w:sz w:val="24"/>
      <w:szCs w:val="20"/>
    </w:rPr>
  </w:style>
  <w:style w:type="paragraph" w:customStyle="1" w:styleId="DefaultText">
    <w:name w:val="Default Text"/>
    <w:basedOn w:val="Normal"/>
    <w:link w:val="DefaultTextChar"/>
    <w:rsid w:val="00C94CF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autoSpaceDE w:val="0"/>
      <w:autoSpaceDN w:val="0"/>
      <w:adjustRightInd w:val="0"/>
      <w:spacing w:after="0" w:line="240" w:lineRule="auto"/>
    </w:pPr>
    <w:rPr>
      <w:rFonts w:ascii="Times New Roman" w:eastAsia="Times New Roman" w:hAnsi="Times New Roman" w:cs="Times New Roman"/>
      <w:sz w:val="24"/>
      <w:szCs w:val="24"/>
      <w:lang w:val="en-CA" w:eastAsia="en-CA"/>
    </w:rPr>
  </w:style>
  <w:style w:type="character" w:customStyle="1" w:styleId="DefaultTextChar">
    <w:name w:val="Default Text Char"/>
    <w:basedOn w:val="DefaultParagraphFont"/>
    <w:link w:val="DefaultText"/>
    <w:rsid w:val="00C94CF1"/>
    <w:rPr>
      <w:rFonts w:ascii="Times New Roman" w:eastAsia="Times New Roman" w:hAnsi="Times New Roman" w:cs="Times New Roman"/>
      <w:sz w:val="24"/>
      <w:szCs w:val="24"/>
      <w:lang w:val="en-CA" w:eastAsia="en-CA"/>
    </w:rPr>
  </w:style>
  <w:style w:type="table" w:styleId="GridTable1Light-Accent3">
    <w:name w:val="Grid Table 1 Light Accent 3"/>
    <w:basedOn w:val="TableNormal"/>
    <w:uiPriority w:val="46"/>
    <w:rsid w:val="00C94CF1"/>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C94CF1"/>
    <w:pPr>
      <w:spacing w:after="0" w:line="240" w:lineRule="auto"/>
    </w:pPr>
    <w:rPr>
      <w:rFonts w:ascii="Calibri" w:eastAsia="Calibri" w:hAnsi="Calibri" w:cs="Times New Roman"/>
      <w:sz w:val="20"/>
      <w:szCs w:val="20"/>
      <w:lang w:val="en-CA" w:eastAsia="en-C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C94CF1"/>
    <w:pPr>
      <w:spacing w:after="0" w:line="240" w:lineRule="auto"/>
    </w:pPr>
    <w:rPr>
      <w:rFonts w:ascii="Calibri" w:eastAsia="Calibri" w:hAnsi="Calibri" w:cs="Times New Roman"/>
    </w:rPr>
  </w:style>
  <w:style w:type="paragraph" w:customStyle="1" w:styleId="Para">
    <w:name w:val="Para"/>
    <w:basedOn w:val="Normal"/>
    <w:link w:val="ParaChar"/>
    <w:qFormat/>
    <w:rsid w:val="00C94CF1"/>
    <w:pPr>
      <w:spacing w:after="0" w:line="280" w:lineRule="exact"/>
    </w:pPr>
    <w:rPr>
      <w:rFonts w:ascii="Calibri" w:eastAsia="Times New Roman" w:hAnsi="Calibri" w:cs="Calibri"/>
      <w:lang w:val="en-GB"/>
    </w:rPr>
  </w:style>
  <w:style w:type="character" w:customStyle="1" w:styleId="ParaChar">
    <w:name w:val="Para Char"/>
    <w:basedOn w:val="DefaultParagraphFont"/>
    <w:link w:val="Para"/>
    <w:rsid w:val="00C94CF1"/>
    <w:rPr>
      <w:rFonts w:ascii="Calibri" w:eastAsia="Times New Roman" w:hAnsi="Calibri" w:cs="Calibri"/>
      <w:lang w:val="en-GB"/>
    </w:rPr>
  </w:style>
  <w:style w:type="character" w:customStyle="1" w:styleId="NoSpacingChar">
    <w:name w:val="No Spacing Char"/>
    <w:basedOn w:val="DefaultParagraphFont"/>
    <w:link w:val="NoSpacing"/>
    <w:uiPriority w:val="1"/>
    <w:locked/>
    <w:rsid w:val="00C94CF1"/>
    <w:rPr>
      <w:rFonts w:ascii="Calibri" w:eastAsia="Calibri" w:hAnsi="Calibri" w:cs="Times New Roman"/>
    </w:rPr>
  </w:style>
  <w:style w:type="character" w:customStyle="1" w:styleId="apple-converted-space">
    <w:name w:val="apple-converted-space"/>
    <w:basedOn w:val="DefaultParagraphFont"/>
    <w:rsid w:val="00C94CF1"/>
  </w:style>
  <w:style w:type="paragraph" w:customStyle="1" w:styleId="newbullet">
    <w:name w:val="new_bullet"/>
    <w:basedOn w:val="Normal"/>
    <w:rsid w:val="00C94CF1"/>
    <w:pPr>
      <w:numPr>
        <w:numId w:val="9"/>
      </w:numPr>
      <w:spacing w:after="0" w:line="240" w:lineRule="auto"/>
      <w:jc w:val="both"/>
    </w:pPr>
    <w:rPr>
      <w:rFonts w:ascii="Garamond" w:eastAsia="Times New Roman" w:hAnsi="Garamond" w:cs="Times New Roman"/>
      <w:sz w:val="24"/>
      <w:szCs w:val="24"/>
      <w:lang w:val="en-CA"/>
    </w:rPr>
  </w:style>
  <w:style w:type="paragraph" w:customStyle="1" w:styleId="indent-xlarge">
    <w:name w:val="indent-xlarge"/>
    <w:basedOn w:val="Normal"/>
    <w:rsid w:val="00C94CF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Choice">
    <w:name w:val="Choice"/>
    <w:basedOn w:val="Normal"/>
    <w:uiPriority w:val="99"/>
    <w:rsid w:val="00C94CF1"/>
    <w:pPr>
      <w:keepNext/>
      <w:keepLines/>
      <w:tabs>
        <w:tab w:val="left" w:pos="900"/>
        <w:tab w:val="right" w:leader="dot" w:pos="5940"/>
        <w:tab w:val="left" w:pos="6120"/>
        <w:tab w:val="left" w:pos="6660"/>
        <w:tab w:val="left" w:pos="7920"/>
        <w:tab w:val="right" w:pos="9360"/>
      </w:tabs>
      <w:spacing w:after="0" w:line="240" w:lineRule="auto"/>
      <w:ind w:left="900" w:right="3748" w:hanging="270"/>
    </w:pPr>
    <w:rPr>
      <w:rFonts w:ascii="Times New Roman" w:eastAsia="MS Mincho" w:hAnsi="Times New Roman" w:cs="Times New Roman"/>
      <w:szCs w:val="20"/>
      <w:lang w:val="en-CA"/>
    </w:rPr>
  </w:style>
  <w:style w:type="table" w:customStyle="1" w:styleId="GridTable4-Accent61">
    <w:name w:val="Grid Table 4 - Accent 61"/>
    <w:basedOn w:val="TableNormal"/>
    <w:uiPriority w:val="49"/>
    <w:rsid w:val="00C94CF1"/>
    <w:pPr>
      <w:spacing w:after="0" w:line="240" w:lineRule="auto"/>
    </w:pPr>
    <w:rPr>
      <w:rFonts w:ascii="Calibri" w:eastAsia="Times New Roman" w:hAnsi="Calibri" w:cs="Times New Roman"/>
      <w:sz w:val="20"/>
      <w:szCs w:val="20"/>
      <w:lang w:val="en-CA" w:eastAsia="en-CA"/>
    </w:rPr>
    <w:tblPr>
      <w:tblStyleRowBandSize w:val="1"/>
      <w:tblStyleColBandSize w:val="1"/>
      <w:tblBorders>
        <w:top w:val="single" w:sz="4" w:space="0" w:color="74B5E4"/>
        <w:left w:val="single" w:sz="4" w:space="0" w:color="74B5E4"/>
        <w:bottom w:val="single" w:sz="4" w:space="0" w:color="74B5E4"/>
        <w:right w:val="single" w:sz="4" w:space="0" w:color="74B5E4"/>
        <w:insideH w:val="single" w:sz="4" w:space="0" w:color="74B5E4"/>
        <w:insideV w:val="single" w:sz="4" w:space="0" w:color="74B5E4"/>
      </w:tblBorders>
    </w:tblPr>
    <w:tblStylePr w:type="firstRow">
      <w:rPr>
        <w:rFonts w:cs="Times New Roman"/>
        <w:b/>
        <w:bCs/>
        <w:color w:val="FFFFFF"/>
      </w:rPr>
      <w:tblPr/>
      <w:tcPr>
        <w:tcBorders>
          <w:top w:val="single" w:sz="4" w:space="0" w:color="2683C6"/>
          <w:left w:val="single" w:sz="4" w:space="0" w:color="2683C6"/>
          <w:bottom w:val="single" w:sz="4" w:space="0" w:color="2683C6"/>
          <w:right w:val="single" w:sz="4" w:space="0" w:color="2683C6"/>
          <w:insideH w:val="nil"/>
          <w:insideV w:val="nil"/>
        </w:tcBorders>
        <w:shd w:val="clear" w:color="auto" w:fill="2683C6"/>
      </w:tcPr>
    </w:tblStylePr>
    <w:tblStylePr w:type="lastRow">
      <w:rPr>
        <w:rFonts w:cs="Times New Roman"/>
        <w:b/>
        <w:bCs/>
      </w:rPr>
      <w:tblPr/>
      <w:tcPr>
        <w:tcBorders>
          <w:top w:val="double" w:sz="4" w:space="0" w:color="2683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E6F6"/>
      </w:tcPr>
    </w:tblStylePr>
    <w:tblStylePr w:type="band1Horz">
      <w:rPr>
        <w:rFonts w:cs="Times New Roman"/>
      </w:rPr>
      <w:tblPr/>
      <w:tcPr>
        <w:shd w:val="clear" w:color="auto" w:fill="D0E6F6"/>
      </w:tcPr>
    </w:tblStylePr>
  </w:style>
  <w:style w:type="table" w:customStyle="1" w:styleId="GridTable4-Accent11">
    <w:name w:val="Grid Table 4 - Accent 11"/>
    <w:basedOn w:val="TableNormal"/>
    <w:uiPriority w:val="49"/>
    <w:rsid w:val="00C94CF1"/>
    <w:pPr>
      <w:spacing w:before="100" w:after="0" w:line="240" w:lineRule="auto"/>
    </w:pPr>
    <w:rPr>
      <w:rFonts w:ascii="Calibri" w:eastAsia="Times New Roman" w:hAnsi="Calibri" w:cs="Times New Roman"/>
      <w:sz w:val="20"/>
      <w:szCs w:val="20"/>
    </w:rPr>
    <w:tblPr>
      <w:tblStyleRowBandSize w:val="1"/>
      <w:tblStyleColBandSize w:val="1"/>
      <w:tblBorders>
        <w:top w:val="single" w:sz="4" w:space="0" w:color="7FC0DB"/>
        <w:left w:val="single" w:sz="4" w:space="0" w:color="7FC0DB"/>
        <w:bottom w:val="single" w:sz="4" w:space="0" w:color="7FC0DB"/>
        <w:right w:val="single" w:sz="4" w:space="0" w:color="7FC0DB"/>
        <w:insideH w:val="single" w:sz="4" w:space="0" w:color="7FC0DB"/>
        <w:insideV w:val="single" w:sz="4" w:space="0" w:color="7FC0DB"/>
      </w:tblBorders>
    </w:tblPr>
    <w:tblStylePr w:type="firstRow">
      <w:rPr>
        <w:rFonts w:cs="Times New Roman"/>
        <w:b/>
        <w:bCs/>
        <w:color w:val="FFFFFF"/>
      </w:rPr>
      <w:tblPr/>
      <w:tcPr>
        <w:tcBorders>
          <w:top w:val="single" w:sz="4" w:space="0" w:color="3494BA"/>
          <w:left w:val="single" w:sz="4" w:space="0" w:color="3494BA"/>
          <w:bottom w:val="single" w:sz="4" w:space="0" w:color="3494BA"/>
          <w:right w:val="single" w:sz="4" w:space="0" w:color="3494BA"/>
          <w:insideH w:val="nil"/>
          <w:insideV w:val="nil"/>
        </w:tcBorders>
        <w:shd w:val="clear" w:color="auto" w:fill="3494BA"/>
      </w:tcPr>
    </w:tblStylePr>
    <w:tblStylePr w:type="lastRow">
      <w:rPr>
        <w:rFonts w:cs="Times New Roman"/>
        <w:b/>
        <w:bCs/>
      </w:rPr>
      <w:tblPr/>
      <w:tcPr>
        <w:tcBorders>
          <w:top w:val="double" w:sz="4" w:space="0" w:color="3494BA"/>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4EAF3"/>
      </w:tcPr>
    </w:tblStylePr>
    <w:tblStylePr w:type="band1Horz">
      <w:rPr>
        <w:rFonts w:cs="Times New Roman"/>
      </w:rPr>
      <w:tblPr/>
      <w:tcPr>
        <w:shd w:val="clear" w:color="auto" w:fill="D4EAF3"/>
      </w:tcPr>
    </w:tblStylePr>
  </w:style>
  <w:style w:type="table" w:customStyle="1" w:styleId="GridTable4-Accent21">
    <w:name w:val="Grid Table 4 - Accent 21"/>
    <w:basedOn w:val="TableNormal"/>
    <w:uiPriority w:val="49"/>
    <w:rsid w:val="00C94CF1"/>
    <w:pPr>
      <w:spacing w:after="0" w:line="240" w:lineRule="auto"/>
    </w:pPr>
    <w:rPr>
      <w:rFonts w:ascii="Calibri" w:eastAsia="Times New Roman" w:hAnsi="Calibri" w:cs="Times New Roman"/>
      <w:sz w:val="20"/>
      <w:szCs w:val="20"/>
      <w:lang w:val="en-CA" w:eastAsia="en-CA"/>
    </w:rPr>
    <w:tblPr>
      <w:tblStyleRowBandSize w:val="1"/>
      <w:tblStyleColBandSize w:val="1"/>
      <w:tblBorders>
        <w:top w:val="single" w:sz="4" w:space="0" w:color="9AD3D9"/>
        <w:left w:val="single" w:sz="4" w:space="0" w:color="9AD3D9"/>
        <w:bottom w:val="single" w:sz="4" w:space="0" w:color="9AD3D9"/>
        <w:right w:val="single" w:sz="4" w:space="0" w:color="9AD3D9"/>
        <w:insideH w:val="single" w:sz="4" w:space="0" w:color="9AD3D9"/>
        <w:insideV w:val="single" w:sz="4" w:space="0" w:color="9AD3D9"/>
      </w:tblBorders>
    </w:tblPr>
    <w:tblStylePr w:type="firstRow">
      <w:rPr>
        <w:rFonts w:cs="Times New Roman"/>
        <w:b/>
        <w:bCs/>
        <w:color w:val="FFFFFF"/>
      </w:rPr>
      <w:tblPr/>
      <w:tcPr>
        <w:tcBorders>
          <w:top w:val="single" w:sz="4" w:space="0" w:color="58B6C0"/>
          <w:left w:val="single" w:sz="4" w:space="0" w:color="58B6C0"/>
          <w:bottom w:val="single" w:sz="4" w:space="0" w:color="58B6C0"/>
          <w:right w:val="single" w:sz="4" w:space="0" w:color="58B6C0"/>
          <w:insideH w:val="nil"/>
          <w:insideV w:val="nil"/>
        </w:tcBorders>
        <w:shd w:val="clear" w:color="auto" w:fill="58B6C0"/>
      </w:tcPr>
    </w:tblStylePr>
    <w:tblStylePr w:type="lastRow">
      <w:rPr>
        <w:rFonts w:cs="Times New Roman"/>
        <w:b/>
        <w:bCs/>
      </w:rPr>
      <w:tblPr/>
      <w:tcPr>
        <w:tcBorders>
          <w:top w:val="double" w:sz="4" w:space="0" w:color="58B6C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F0F2"/>
      </w:tcPr>
    </w:tblStylePr>
    <w:tblStylePr w:type="band1Horz">
      <w:rPr>
        <w:rFonts w:cs="Times New Roman"/>
      </w:rPr>
      <w:tblPr/>
      <w:tcPr>
        <w:shd w:val="clear" w:color="auto" w:fill="DDF0F2"/>
      </w:tcPr>
    </w:tblStylePr>
  </w:style>
  <w:style w:type="table" w:customStyle="1" w:styleId="GridTable4-Accent52">
    <w:name w:val="Grid Table 4 - Accent 52"/>
    <w:basedOn w:val="TableNormal"/>
    <w:uiPriority w:val="49"/>
    <w:rsid w:val="00C94CF1"/>
    <w:pPr>
      <w:spacing w:before="100" w:after="0" w:line="240" w:lineRule="auto"/>
    </w:pPr>
    <w:rPr>
      <w:rFonts w:ascii="Calibri" w:eastAsia="Times New Roman" w:hAnsi="Calibri" w:cs="Times New Roman"/>
      <w:sz w:val="20"/>
      <w:szCs w:val="20"/>
    </w:rPr>
    <w:tblPr>
      <w:tblStyleRowBandSize w:val="1"/>
      <w:tblStyleColBandSize w:val="1"/>
      <w:tblBorders>
        <w:top w:val="single" w:sz="4" w:space="0" w:color="B5CDD3"/>
        <w:left w:val="single" w:sz="4" w:space="0" w:color="B5CDD3"/>
        <w:bottom w:val="single" w:sz="4" w:space="0" w:color="B5CDD3"/>
        <w:right w:val="single" w:sz="4" w:space="0" w:color="B5CDD3"/>
        <w:insideH w:val="single" w:sz="4" w:space="0" w:color="B5CDD3"/>
        <w:insideV w:val="single" w:sz="4" w:space="0" w:color="B5CDD3"/>
      </w:tblBorders>
    </w:tblPr>
    <w:tblStylePr w:type="firstRow">
      <w:rPr>
        <w:rFonts w:cs="Times New Roman"/>
        <w:b/>
        <w:bCs/>
        <w:color w:val="FFFFFF"/>
      </w:rPr>
      <w:tblPr/>
      <w:tcPr>
        <w:tcBorders>
          <w:top w:val="single" w:sz="4" w:space="0" w:color="84ACB6"/>
          <w:left w:val="single" w:sz="4" w:space="0" w:color="84ACB6"/>
          <w:bottom w:val="single" w:sz="4" w:space="0" w:color="84ACB6"/>
          <w:right w:val="single" w:sz="4" w:space="0" w:color="84ACB6"/>
          <w:insideH w:val="nil"/>
          <w:insideV w:val="nil"/>
        </w:tcBorders>
        <w:shd w:val="clear" w:color="auto" w:fill="84ACB6"/>
      </w:tcPr>
    </w:tblStylePr>
    <w:tblStylePr w:type="lastRow">
      <w:rPr>
        <w:rFonts w:cs="Times New Roman"/>
        <w:b/>
        <w:bCs/>
      </w:rPr>
      <w:tblPr/>
      <w:tcPr>
        <w:tcBorders>
          <w:top w:val="double" w:sz="4" w:space="0" w:color="84ACB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F0"/>
      </w:tcPr>
    </w:tblStylePr>
    <w:tblStylePr w:type="band1Horz">
      <w:rPr>
        <w:rFonts w:cs="Times New Roman"/>
      </w:rPr>
      <w:tblPr/>
      <w:tcPr>
        <w:shd w:val="clear" w:color="auto" w:fill="E6EEF0"/>
      </w:tcPr>
    </w:tblStylePr>
  </w:style>
  <w:style w:type="table" w:customStyle="1" w:styleId="GridTable4-Accent31">
    <w:name w:val="Grid Table 4 - Accent 31"/>
    <w:basedOn w:val="TableNormal"/>
    <w:uiPriority w:val="49"/>
    <w:rsid w:val="00C94CF1"/>
    <w:pPr>
      <w:spacing w:before="100" w:after="0" w:line="240" w:lineRule="auto"/>
    </w:pPr>
    <w:rPr>
      <w:rFonts w:ascii="Calibri" w:eastAsia="Times New Roman" w:hAnsi="Calibri" w:cs="Times New Roman"/>
      <w:sz w:val="20"/>
      <w:szCs w:val="20"/>
    </w:rPr>
    <w:tblPr>
      <w:tblStyleRowBandSize w:val="1"/>
      <w:tblStyleColBandSize w:val="1"/>
      <w:tblBorders>
        <w:top w:val="single" w:sz="4" w:space="0" w:color="ACD7CA"/>
        <w:left w:val="single" w:sz="4" w:space="0" w:color="ACD7CA"/>
        <w:bottom w:val="single" w:sz="4" w:space="0" w:color="ACD7CA"/>
        <w:right w:val="single" w:sz="4" w:space="0" w:color="ACD7CA"/>
        <w:insideH w:val="single" w:sz="4" w:space="0" w:color="ACD7CA"/>
        <w:insideV w:val="single" w:sz="4" w:space="0" w:color="ACD7CA"/>
      </w:tblBorders>
    </w:tblPr>
    <w:tblStylePr w:type="firstRow">
      <w:rPr>
        <w:rFonts w:cs="Times New Roman"/>
        <w:b/>
        <w:bCs/>
        <w:color w:val="FFFFFF"/>
      </w:rPr>
      <w:tblPr/>
      <w:tcPr>
        <w:tcBorders>
          <w:top w:val="single" w:sz="4" w:space="0" w:color="75BDA7"/>
          <w:left w:val="single" w:sz="4" w:space="0" w:color="75BDA7"/>
          <w:bottom w:val="single" w:sz="4" w:space="0" w:color="75BDA7"/>
          <w:right w:val="single" w:sz="4" w:space="0" w:color="75BDA7"/>
          <w:insideH w:val="nil"/>
          <w:insideV w:val="nil"/>
        </w:tcBorders>
        <w:shd w:val="clear" w:color="auto" w:fill="75BDA7"/>
      </w:tcPr>
    </w:tblStylePr>
    <w:tblStylePr w:type="lastRow">
      <w:rPr>
        <w:rFonts w:cs="Times New Roman"/>
        <w:b/>
        <w:bCs/>
      </w:rPr>
      <w:tblPr/>
      <w:tcPr>
        <w:tcBorders>
          <w:top w:val="double" w:sz="4" w:space="0" w:color="75BDA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3F1ED"/>
      </w:tcPr>
    </w:tblStylePr>
    <w:tblStylePr w:type="band1Horz">
      <w:rPr>
        <w:rFonts w:cs="Times New Roman"/>
      </w:rPr>
      <w:tblPr/>
      <w:tcPr>
        <w:shd w:val="clear" w:color="auto" w:fill="E3F1ED"/>
      </w:tcPr>
    </w:tblStylePr>
  </w:style>
  <w:style w:type="table" w:customStyle="1" w:styleId="GridTable4-Accent41">
    <w:name w:val="Grid Table 4 - Accent 41"/>
    <w:basedOn w:val="TableNormal"/>
    <w:uiPriority w:val="49"/>
    <w:rsid w:val="00C94CF1"/>
    <w:pPr>
      <w:spacing w:before="100" w:after="0" w:line="240" w:lineRule="auto"/>
    </w:pPr>
    <w:rPr>
      <w:rFonts w:ascii="Calibri" w:eastAsia="Times New Roman" w:hAnsi="Calibri" w:cs="Times New Roman"/>
      <w:sz w:val="20"/>
      <w:szCs w:val="20"/>
    </w:rPr>
    <w:tblPr>
      <w:tblStyleRowBandSize w:val="1"/>
      <w:tblStyleColBandSize w:val="1"/>
      <w:tblBorders>
        <w:top w:val="single" w:sz="4" w:space="0" w:color="AFB9BB"/>
        <w:left w:val="single" w:sz="4" w:space="0" w:color="AFB9BB"/>
        <w:bottom w:val="single" w:sz="4" w:space="0" w:color="AFB9BB"/>
        <w:right w:val="single" w:sz="4" w:space="0" w:color="AFB9BB"/>
        <w:insideH w:val="single" w:sz="4" w:space="0" w:color="AFB9BB"/>
        <w:insideV w:val="single" w:sz="4" w:space="0" w:color="AFB9BB"/>
      </w:tblBorders>
    </w:tblPr>
    <w:tblStylePr w:type="firstRow">
      <w:rPr>
        <w:rFonts w:cs="Times New Roman"/>
        <w:b/>
        <w:bCs/>
        <w:color w:val="FFFFFF"/>
      </w:rPr>
      <w:tblPr/>
      <w:tcPr>
        <w:tcBorders>
          <w:top w:val="single" w:sz="4" w:space="0" w:color="7A8C8E"/>
          <w:left w:val="single" w:sz="4" w:space="0" w:color="7A8C8E"/>
          <w:bottom w:val="single" w:sz="4" w:space="0" w:color="7A8C8E"/>
          <w:right w:val="single" w:sz="4" w:space="0" w:color="7A8C8E"/>
          <w:insideH w:val="nil"/>
          <w:insideV w:val="nil"/>
        </w:tcBorders>
        <w:shd w:val="clear" w:color="auto" w:fill="7A8C8E"/>
      </w:tcPr>
    </w:tblStylePr>
    <w:tblStylePr w:type="lastRow">
      <w:rPr>
        <w:rFonts w:cs="Times New Roman"/>
        <w:b/>
        <w:bCs/>
      </w:rPr>
      <w:tblPr/>
      <w:tcPr>
        <w:tcBorders>
          <w:top w:val="double" w:sz="4" w:space="0" w:color="7A8C8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4E7E8"/>
      </w:tcPr>
    </w:tblStylePr>
    <w:tblStylePr w:type="band1Horz">
      <w:rPr>
        <w:rFonts w:cs="Times New Roman"/>
      </w:rPr>
      <w:tblPr/>
      <w:tcPr>
        <w:shd w:val="clear" w:color="auto" w:fill="E4E7E8"/>
      </w:tcPr>
    </w:tblStylePr>
  </w:style>
  <w:style w:type="table" w:customStyle="1" w:styleId="GridTable5Dark-Accent41">
    <w:name w:val="Grid Table 5 Dark - Accent 41"/>
    <w:basedOn w:val="TableNormal"/>
    <w:uiPriority w:val="50"/>
    <w:rsid w:val="00C94CF1"/>
    <w:pPr>
      <w:spacing w:after="0" w:line="240" w:lineRule="auto"/>
    </w:pPr>
    <w:rPr>
      <w:rFonts w:ascii="Calibri" w:eastAsia="Times New Roman" w:hAnsi="Calibri" w:cs="Times New Roman"/>
      <w:sz w:val="20"/>
      <w:szCs w:val="20"/>
      <w:lang w:val="en-CA" w:eastAsia="en-C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7E8"/>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7A8C8E"/>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7A8C8E"/>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7A8C8E"/>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7A8C8E"/>
      </w:tcPr>
    </w:tblStylePr>
    <w:tblStylePr w:type="band1Vert">
      <w:rPr>
        <w:rFonts w:cs="Times New Roman"/>
      </w:rPr>
      <w:tblPr/>
      <w:tcPr>
        <w:shd w:val="clear" w:color="auto" w:fill="C9D0D1"/>
      </w:tcPr>
    </w:tblStylePr>
    <w:tblStylePr w:type="band1Horz">
      <w:rPr>
        <w:rFonts w:cs="Times New Roman"/>
      </w:rPr>
      <w:tblPr/>
      <w:tcPr>
        <w:shd w:val="clear" w:color="auto" w:fill="C9D0D1"/>
      </w:tcPr>
    </w:tblStylePr>
  </w:style>
  <w:style w:type="table" w:customStyle="1" w:styleId="GridTable1Light-Accent51">
    <w:name w:val="Grid Table 1 Light - Accent 51"/>
    <w:basedOn w:val="TableNormal"/>
    <w:uiPriority w:val="46"/>
    <w:rsid w:val="00C94CF1"/>
    <w:pPr>
      <w:spacing w:before="100" w:after="0" w:line="240" w:lineRule="auto"/>
    </w:pPr>
    <w:rPr>
      <w:rFonts w:ascii="Calibri" w:eastAsia="Times New Roman" w:hAnsi="Calibri" w:cs="Times New Roman"/>
      <w:sz w:val="20"/>
      <w:szCs w:val="20"/>
    </w:rPr>
    <w:tblPr>
      <w:tblStyleRowBandSize w:val="1"/>
      <w:tblStyleColBandSize w:val="1"/>
      <w:tblBorders>
        <w:top w:val="single" w:sz="4" w:space="0" w:color="CDDDE1"/>
        <w:left w:val="single" w:sz="4" w:space="0" w:color="CDDDE1"/>
        <w:bottom w:val="single" w:sz="4" w:space="0" w:color="CDDDE1"/>
        <w:right w:val="single" w:sz="4" w:space="0" w:color="CDDDE1"/>
        <w:insideH w:val="single" w:sz="4" w:space="0" w:color="CDDDE1"/>
        <w:insideV w:val="single" w:sz="4" w:space="0" w:color="CDDDE1"/>
      </w:tblBorders>
    </w:tblPr>
    <w:tblStylePr w:type="firstRow">
      <w:rPr>
        <w:rFonts w:cs="Times New Roman"/>
        <w:b/>
        <w:bCs/>
      </w:rPr>
      <w:tblPr/>
      <w:tcPr>
        <w:tcBorders>
          <w:bottom w:val="single" w:sz="12" w:space="0" w:color="B5CDD3"/>
        </w:tcBorders>
      </w:tcPr>
    </w:tblStylePr>
    <w:tblStylePr w:type="lastRow">
      <w:rPr>
        <w:rFonts w:cs="Times New Roman"/>
        <w:b/>
        <w:bCs/>
      </w:rPr>
      <w:tblPr/>
      <w:tcPr>
        <w:tcBorders>
          <w:top w:val="double" w:sz="2" w:space="0" w:color="B5CDD3"/>
        </w:tcBorders>
      </w:tcPr>
    </w:tblStylePr>
    <w:tblStylePr w:type="firstCol">
      <w:rPr>
        <w:rFonts w:cs="Times New Roman"/>
        <w:b/>
        <w:bCs/>
      </w:rPr>
    </w:tblStylePr>
    <w:tblStylePr w:type="lastCol">
      <w:rPr>
        <w:rFonts w:cs="Times New Roman"/>
        <w:b/>
        <w:bCs/>
      </w:rPr>
    </w:tblStylePr>
  </w:style>
  <w:style w:type="table" w:customStyle="1" w:styleId="GridTable5Dark-Accent61">
    <w:name w:val="Grid Table 5 Dark - Accent 61"/>
    <w:basedOn w:val="TableNormal"/>
    <w:uiPriority w:val="50"/>
    <w:rsid w:val="00C94CF1"/>
    <w:pPr>
      <w:spacing w:after="0" w:line="240" w:lineRule="auto"/>
    </w:pPr>
    <w:rPr>
      <w:rFonts w:ascii="Calibri" w:eastAsia="Times New Roman" w:hAnsi="Calibri" w:cs="Times New Roman"/>
      <w:sz w:val="20"/>
      <w:szCs w:val="20"/>
      <w:lang w:val="en-CA" w:eastAsia="en-C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0E6F6"/>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2683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2683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2683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2683C6"/>
      </w:tcPr>
    </w:tblStylePr>
    <w:tblStylePr w:type="band1Vert">
      <w:rPr>
        <w:rFonts w:cs="Times New Roman"/>
      </w:rPr>
      <w:tblPr/>
      <w:tcPr>
        <w:shd w:val="clear" w:color="auto" w:fill="A3CEED"/>
      </w:tcPr>
    </w:tblStylePr>
    <w:tblStylePr w:type="band1Horz">
      <w:rPr>
        <w:rFonts w:cs="Times New Roman"/>
      </w:rPr>
      <w:tblPr/>
      <w:tcPr>
        <w:shd w:val="clear" w:color="auto" w:fill="A3CEED"/>
      </w:tcPr>
    </w:tblStylePr>
  </w:style>
  <w:style w:type="table" w:customStyle="1" w:styleId="GridTable2-Accent61">
    <w:name w:val="Grid Table 2 - Accent 61"/>
    <w:basedOn w:val="TableNormal"/>
    <w:uiPriority w:val="47"/>
    <w:rsid w:val="00C94CF1"/>
    <w:pPr>
      <w:spacing w:after="0" w:line="240" w:lineRule="auto"/>
    </w:pPr>
    <w:rPr>
      <w:rFonts w:ascii="Calibri" w:eastAsia="Times New Roman" w:hAnsi="Calibri" w:cs="Times New Roman"/>
      <w:sz w:val="20"/>
      <w:szCs w:val="20"/>
      <w:lang w:val="en-CA" w:eastAsia="en-CA"/>
    </w:rPr>
    <w:tblPr>
      <w:tblStyleRowBandSize w:val="1"/>
      <w:tblStyleColBandSize w:val="1"/>
      <w:tblBorders>
        <w:top w:val="single" w:sz="2" w:space="0" w:color="74B5E4"/>
        <w:bottom w:val="single" w:sz="2" w:space="0" w:color="74B5E4"/>
        <w:insideH w:val="single" w:sz="2" w:space="0" w:color="74B5E4"/>
        <w:insideV w:val="single" w:sz="2" w:space="0" w:color="74B5E4"/>
      </w:tblBorders>
    </w:tblPr>
    <w:tblStylePr w:type="firstRow">
      <w:rPr>
        <w:rFonts w:cs="Times New Roman"/>
        <w:b/>
        <w:bCs/>
      </w:rPr>
      <w:tblPr/>
      <w:tcPr>
        <w:tcBorders>
          <w:top w:val="nil"/>
          <w:bottom w:val="single" w:sz="12" w:space="0" w:color="74B5E4"/>
          <w:insideH w:val="nil"/>
          <w:insideV w:val="nil"/>
        </w:tcBorders>
        <w:shd w:val="clear" w:color="auto" w:fill="FFFFFF"/>
      </w:tcPr>
    </w:tblStylePr>
    <w:tblStylePr w:type="lastRow">
      <w:rPr>
        <w:rFonts w:cs="Times New Roman"/>
        <w:b/>
        <w:bCs/>
      </w:rPr>
      <w:tblPr/>
      <w:tcPr>
        <w:tcBorders>
          <w:top w:val="double" w:sz="2" w:space="0" w:color="74B5E4"/>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E6F6"/>
      </w:tcPr>
    </w:tblStylePr>
    <w:tblStylePr w:type="band1Horz">
      <w:rPr>
        <w:rFonts w:cs="Times New Roman"/>
      </w:rPr>
      <w:tblPr/>
      <w:tcPr>
        <w:shd w:val="clear" w:color="auto" w:fill="D0E6F6"/>
      </w:tcPr>
    </w:tblStylePr>
  </w:style>
  <w:style w:type="table" w:customStyle="1" w:styleId="GridTable3-Accent31">
    <w:name w:val="Grid Table 3 - Accent 31"/>
    <w:basedOn w:val="TableNormal"/>
    <w:uiPriority w:val="48"/>
    <w:rsid w:val="00C94CF1"/>
    <w:pPr>
      <w:spacing w:after="0" w:line="240" w:lineRule="auto"/>
    </w:pPr>
    <w:rPr>
      <w:rFonts w:ascii="Calibri" w:eastAsia="Times New Roman" w:hAnsi="Calibri" w:cs="Times New Roman"/>
      <w:sz w:val="20"/>
      <w:szCs w:val="20"/>
      <w:lang w:val="en-CA" w:eastAsia="en-CA"/>
    </w:rPr>
    <w:tblPr>
      <w:tblStyleRowBandSize w:val="1"/>
      <w:tblStyleColBandSize w:val="1"/>
      <w:tblBorders>
        <w:top w:val="single" w:sz="4" w:space="0" w:color="ACD7CA"/>
        <w:left w:val="single" w:sz="4" w:space="0" w:color="ACD7CA"/>
        <w:bottom w:val="single" w:sz="4" w:space="0" w:color="ACD7CA"/>
        <w:right w:val="single" w:sz="4" w:space="0" w:color="ACD7CA"/>
        <w:insideH w:val="single" w:sz="4" w:space="0" w:color="ACD7CA"/>
        <w:insideV w:val="single" w:sz="4" w:space="0" w:color="ACD7CA"/>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3F1ED"/>
      </w:tcPr>
    </w:tblStylePr>
    <w:tblStylePr w:type="band1Horz">
      <w:rPr>
        <w:rFonts w:cs="Times New Roman"/>
      </w:rPr>
      <w:tblPr/>
      <w:tcPr>
        <w:shd w:val="clear" w:color="auto" w:fill="E3F1ED"/>
      </w:tcPr>
    </w:tblStylePr>
    <w:tblStylePr w:type="neCell">
      <w:rPr>
        <w:rFonts w:cs="Times New Roman"/>
      </w:rPr>
      <w:tblPr/>
      <w:tcPr>
        <w:tcBorders>
          <w:bottom w:val="single" w:sz="4" w:space="0" w:color="ACD7CA"/>
        </w:tcBorders>
      </w:tcPr>
    </w:tblStylePr>
    <w:tblStylePr w:type="nwCell">
      <w:rPr>
        <w:rFonts w:cs="Times New Roman"/>
      </w:rPr>
      <w:tblPr/>
      <w:tcPr>
        <w:tcBorders>
          <w:bottom w:val="single" w:sz="4" w:space="0" w:color="ACD7CA"/>
        </w:tcBorders>
      </w:tcPr>
    </w:tblStylePr>
    <w:tblStylePr w:type="seCell">
      <w:rPr>
        <w:rFonts w:cs="Times New Roman"/>
      </w:rPr>
      <w:tblPr/>
      <w:tcPr>
        <w:tcBorders>
          <w:top w:val="single" w:sz="4" w:space="0" w:color="ACD7CA"/>
        </w:tcBorders>
      </w:tcPr>
    </w:tblStylePr>
    <w:tblStylePr w:type="swCell">
      <w:rPr>
        <w:rFonts w:cs="Times New Roman"/>
      </w:rPr>
      <w:tblPr/>
      <w:tcPr>
        <w:tcBorders>
          <w:top w:val="single" w:sz="4" w:space="0" w:color="ACD7CA"/>
        </w:tcBorders>
      </w:tcPr>
    </w:tblStylePr>
  </w:style>
  <w:style w:type="table" w:customStyle="1" w:styleId="GridTable5Dark-Accent31">
    <w:name w:val="Grid Table 5 Dark - Accent 31"/>
    <w:basedOn w:val="TableNormal"/>
    <w:uiPriority w:val="50"/>
    <w:rsid w:val="00C94CF1"/>
    <w:pPr>
      <w:spacing w:after="0" w:line="240" w:lineRule="auto"/>
    </w:pPr>
    <w:rPr>
      <w:rFonts w:ascii="Calibri" w:eastAsia="Times New Roman" w:hAnsi="Calibri" w:cs="Times New Roman"/>
      <w:sz w:val="20"/>
      <w:szCs w:val="20"/>
      <w:lang w:val="en-CA" w:eastAsia="en-C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3F1ED"/>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75BDA7"/>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75BDA7"/>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75BDA7"/>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75BDA7"/>
      </w:tcPr>
    </w:tblStylePr>
    <w:tblStylePr w:type="band1Vert">
      <w:rPr>
        <w:rFonts w:cs="Times New Roman"/>
      </w:rPr>
      <w:tblPr/>
      <w:tcPr>
        <w:shd w:val="clear" w:color="auto" w:fill="C7E4DB"/>
      </w:tcPr>
    </w:tblStylePr>
    <w:tblStylePr w:type="band1Horz">
      <w:rPr>
        <w:rFonts w:cs="Times New Roman"/>
      </w:rPr>
      <w:tblPr/>
      <w:tcPr>
        <w:shd w:val="clear" w:color="auto" w:fill="C7E4DB"/>
      </w:tcPr>
    </w:tblStylePr>
  </w:style>
  <w:style w:type="table" w:customStyle="1" w:styleId="GridTable1Light-Accent31">
    <w:name w:val="Grid Table 1 Light - Accent 31"/>
    <w:basedOn w:val="TableNormal"/>
    <w:uiPriority w:val="46"/>
    <w:rsid w:val="00C94CF1"/>
    <w:pPr>
      <w:spacing w:after="0" w:line="240" w:lineRule="auto"/>
    </w:pPr>
    <w:rPr>
      <w:rFonts w:ascii="Calibri" w:eastAsia="Times New Roman" w:hAnsi="Calibri" w:cs="Times New Roman"/>
      <w:sz w:val="20"/>
      <w:szCs w:val="20"/>
      <w:lang w:val="en-CA" w:eastAsia="en-CA"/>
    </w:rPr>
    <w:tblPr>
      <w:tblStyleRowBandSize w:val="1"/>
      <w:tblStyleColBandSize w:val="1"/>
      <w:tblBorders>
        <w:top w:val="single" w:sz="4" w:space="0" w:color="C7E4DB"/>
        <w:left w:val="single" w:sz="4" w:space="0" w:color="C7E4DB"/>
        <w:bottom w:val="single" w:sz="4" w:space="0" w:color="C7E4DB"/>
        <w:right w:val="single" w:sz="4" w:space="0" w:color="C7E4DB"/>
        <w:insideH w:val="single" w:sz="4" w:space="0" w:color="C7E4DB"/>
        <w:insideV w:val="single" w:sz="4" w:space="0" w:color="C7E4DB"/>
      </w:tblBorders>
    </w:tblPr>
    <w:tblStylePr w:type="firstRow">
      <w:rPr>
        <w:rFonts w:cs="Times New Roman"/>
        <w:b/>
        <w:bCs/>
      </w:rPr>
      <w:tblPr/>
      <w:tcPr>
        <w:tcBorders>
          <w:bottom w:val="single" w:sz="12" w:space="0" w:color="ACD7CA"/>
        </w:tcBorders>
      </w:tcPr>
    </w:tblStylePr>
    <w:tblStylePr w:type="lastRow">
      <w:rPr>
        <w:rFonts w:cs="Times New Roman"/>
        <w:b/>
        <w:bCs/>
      </w:rPr>
      <w:tblPr/>
      <w:tcPr>
        <w:tcBorders>
          <w:top w:val="double" w:sz="2" w:space="0" w:color="ACD7CA"/>
        </w:tcBorders>
      </w:tcPr>
    </w:tblStylePr>
    <w:tblStylePr w:type="firstCol">
      <w:rPr>
        <w:rFonts w:cs="Times New Roman"/>
        <w:b/>
        <w:bCs/>
      </w:rPr>
    </w:tblStylePr>
    <w:tblStylePr w:type="lastCol">
      <w:rPr>
        <w:rFonts w:cs="Times New Roman"/>
        <w:b/>
        <w:bCs/>
      </w:rPr>
    </w:tblStylePr>
  </w:style>
  <w:style w:type="table" w:customStyle="1" w:styleId="GridTable2-Accent31">
    <w:name w:val="Grid Table 2 - Accent 31"/>
    <w:basedOn w:val="TableNormal"/>
    <w:uiPriority w:val="47"/>
    <w:rsid w:val="00C94CF1"/>
    <w:pPr>
      <w:spacing w:after="0" w:line="240" w:lineRule="auto"/>
    </w:pPr>
    <w:rPr>
      <w:rFonts w:ascii="Calibri" w:eastAsia="Times New Roman" w:hAnsi="Calibri" w:cs="Times New Roman"/>
      <w:sz w:val="20"/>
      <w:szCs w:val="20"/>
      <w:lang w:val="en-CA" w:eastAsia="en-CA"/>
    </w:rPr>
    <w:tblPr>
      <w:tblStyleRowBandSize w:val="1"/>
      <w:tblStyleColBandSize w:val="1"/>
      <w:tblBorders>
        <w:top w:val="single" w:sz="2" w:space="0" w:color="ACD7CA"/>
        <w:bottom w:val="single" w:sz="2" w:space="0" w:color="ACD7CA"/>
        <w:insideH w:val="single" w:sz="2" w:space="0" w:color="ACD7CA"/>
        <w:insideV w:val="single" w:sz="2" w:space="0" w:color="ACD7CA"/>
      </w:tblBorders>
    </w:tblPr>
    <w:tblStylePr w:type="firstRow">
      <w:rPr>
        <w:rFonts w:cs="Times New Roman"/>
        <w:b/>
        <w:bCs/>
      </w:rPr>
      <w:tblPr/>
      <w:tcPr>
        <w:tcBorders>
          <w:top w:val="nil"/>
          <w:bottom w:val="single" w:sz="12" w:space="0" w:color="ACD7CA"/>
          <w:insideH w:val="nil"/>
          <w:insideV w:val="nil"/>
        </w:tcBorders>
        <w:shd w:val="clear" w:color="auto" w:fill="FFFFFF"/>
      </w:tcPr>
    </w:tblStylePr>
    <w:tblStylePr w:type="lastRow">
      <w:rPr>
        <w:rFonts w:cs="Times New Roman"/>
        <w:b/>
        <w:bCs/>
      </w:rPr>
      <w:tblPr/>
      <w:tcPr>
        <w:tcBorders>
          <w:top w:val="double" w:sz="2" w:space="0" w:color="ACD7CA"/>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3F1ED"/>
      </w:tcPr>
    </w:tblStylePr>
    <w:tblStylePr w:type="band1Horz">
      <w:rPr>
        <w:rFonts w:cs="Times New Roman"/>
      </w:rPr>
      <w:tblPr/>
      <w:tcPr>
        <w:shd w:val="clear" w:color="auto" w:fill="E3F1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6685">
      <w:bodyDiv w:val="1"/>
      <w:marLeft w:val="0"/>
      <w:marRight w:val="0"/>
      <w:marTop w:val="0"/>
      <w:marBottom w:val="0"/>
      <w:divBdr>
        <w:top w:val="none" w:sz="0" w:space="0" w:color="auto"/>
        <w:left w:val="none" w:sz="0" w:space="0" w:color="auto"/>
        <w:bottom w:val="none" w:sz="0" w:space="0" w:color="auto"/>
        <w:right w:val="none" w:sz="0" w:space="0" w:color="auto"/>
      </w:divBdr>
    </w:div>
    <w:div w:id="301081051">
      <w:bodyDiv w:val="1"/>
      <w:marLeft w:val="0"/>
      <w:marRight w:val="0"/>
      <w:marTop w:val="0"/>
      <w:marBottom w:val="0"/>
      <w:divBdr>
        <w:top w:val="none" w:sz="0" w:space="0" w:color="auto"/>
        <w:left w:val="none" w:sz="0" w:space="0" w:color="auto"/>
        <w:bottom w:val="none" w:sz="0" w:space="0" w:color="auto"/>
        <w:right w:val="none" w:sz="0" w:space="0" w:color="auto"/>
      </w:divBdr>
    </w:div>
    <w:div w:id="348412638">
      <w:bodyDiv w:val="1"/>
      <w:marLeft w:val="0"/>
      <w:marRight w:val="0"/>
      <w:marTop w:val="0"/>
      <w:marBottom w:val="0"/>
      <w:divBdr>
        <w:top w:val="none" w:sz="0" w:space="0" w:color="auto"/>
        <w:left w:val="none" w:sz="0" w:space="0" w:color="auto"/>
        <w:bottom w:val="none" w:sz="0" w:space="0" w:color="auto"/>
        <w:right w:val="none" w:sz="0" w:space="0" w:color="auto"/>
      </w:divBdr>
    </w:div>
    <w:div w:id="691422788">
      <w:bodyDiv w:val="1"/>
      <w:marLeft w:val="0"/>
      <w:marRight w:val="0"/>
      <w:marTop w:val="0"/>
      <w:marBottom w:val="0"/>
      <w:divBdr>
        <w:top w:val="none" w:sz="0" w:space="0" w:color="auto"/>
        <w:left w:val="none" w:sz="0" w:space="0" w:color="auto"/>
        <w:bottom w:val="none" w:sz="0" w:space="0" w:color="auto"/>
        <w:right w:val="none" w:sz="0" w:space="0" w:color="auto"/>
      </w:divBdr>
    </w:div>
    <w:div w:id="903948657">
      <w:bodyDiv w:val="1"/>
      <w:marLeft w:val="0"/>
      <w:marRight w:val="0"/>
      <w:marTop w:val="0"/>
      <w:marBottom w:val="0"/>
      <w:divBdr>
        <w:top w:val="none" w:sz="0" w:space="0" w:color="auto"/>
        <w:left w:val="none" w:sz="0" w:space="0" w:color="auto"/>
        <w:bottom w:val="none" w:sz="0" w:space="0" w:color="auto"/>
        <w:right w:val="none" w:sz="0" w:space="0" w:color="auto"/>
      </w:divBdr>
    </w:div>
    <w:div w:id="1008144040">
      <w:bodyDiv w:val="1"/>
      <w:marLeft w:val="0"/>
      <w:marRight w:val="0"/>
      <w:marTop w:val="0"/>
      <w:marBottom w:val="0"/>
      <w:divBdr>
        <w:top w:val="none" w:sz="0" w:space="0" w:color="auto"/>
        <w:left w:val="none" w:sz="0" w:space="0" w:color="auto"/>
        <w:bottom w:val="none" w:sz="0" w:space="0" w:color="auto"/>
        <w:right w:val="none" w:sz="0" w:space="0" w:color="auto"/>
      </w:divBdr>
    </w:div>
    <w:div w:id="1149398220">
      <w:bodyDiv w:val="1"/>
      <w:marLeft w:val="0"/>
      <w:marRight w:val="0"/>
      <w:marTop w:val="0"/>
      <w:marBottom w:val="0"/>
      <w:divBdr>
        <w:top w:val="none" w:sz="0" w:space="0" w:color="auto"/>
        <w:left w:val="none" w:sz="0" w:space="0" w:color="auto"/>
        <w:bottom w:val="none" w:sz="0" w:space="0" w:color="auto"/>
        <w:right w:val="none" w:sz="0" w:space="0" w:color="auto"/>
      </w:divBdr>
    </w:div>
    <w:div w:id="1225721292">
      <w:bodyDiv w:val="1"/>
      <w:marLeft w:val="0"/>
      <w:marRight w:val="0"/>
      <w:marTop w:val="0"/>
      <w:marBottom w:val="0"/>
      <w:divBdr>
        <w:top w:val="none" w:sz="0" w:space="0" w:color="auto"/>
        <w:left w:val="none" w:sz="0" w:space="0" w:color="auto"/>
        <w:bottom w:val="none" w:sz="0" w:space="0" w:color="auto"/>
        <w:right w:val="none" w:sz="0" w:space="0" w:color="auto"/>
      </w:divBdr>
    </w:div>
    <w:div w:id="1466387745">
      <w:bodyDiv w:val="1"/>
      <w:marLeft w:val="0"/>
      <w:marRight w:val="0"/>
      <w:marTop w:val="0"/>
      <w:marBottom w:val="0"/>
      <w:divBdr>
        <w:top w:val="none" w:sz="0" w:space="0" w:color="auto"/>
        <w:left w:val="none" w:sz="0" w:space="0" w:color="auto"/>
        <w:bottom w:val="none" w:sz="0" w:space="0" w:color="auto"/>
        <w:right w:val="none" w:sz="0" w:space="0" w:color="auto"/>
      </w:divBdr>
    </w:div>
    <w:div w:id="1518495272">
      <w:bodyDiv w:val="1"/>
      <w:marLeft w:val="0"/>
      <w:marRight w:val="0"/>
      <w:marTop w:val="0"/>
      <w:marBottom w:val="0"/>
      <w:divBdr>
        <w:top w:val="none" w:sz="0" w:space="0" w:color="auto"/>
        <w:left w:val="none" w:sz="0" w:space="0" w:color="auto"/>
        <w:bottom w:val="none" w:sz="0" w:space="0" w:color="auto"/>
        <w:right w:val="none" w:sz="0" w:space="0" w:color="auto"/>
      </w:divBdr>
    </w:div>
    <w:div w:id="1526937759">
      <w:bodyDiv w:val="1"/>
      <w:marLeft w:val="0"/>
      <w:marRight w:val="0"/>
      <w:marTop w:val="0"/>
      <w:marBottom w:val="0"/>
      <w:divBdr>
        <w:top w:val="none" w:sz="0" w:space="0" w:color="auto"/>
        <w:left w:val="none" w:sz="0" w:space="0" w:color="auto"/>
        <w:bottom w:val="none" w:sz="0" w:space="0" w:color="auto"/>
        <w:right w:val="none" w:sz="0" w:space="0" w:color="auto"/>
      </w:divBdr>
    </w:div>
    <w:div w:id="1549075721">
      <w:bodyDiv w:val="1"/>
      <w:marLeft w:val="0"/>
      <w:marRight w:val="0"/>
      <w:marTop w:val="0"/>
      <w:marBottom w:val="0"/>
      <w:divBdr>
        <w:top w:val="none" w:sz="0" w:space="0" w:color="auto"/>
        <w:left w:val="none" w:sz="0" w:space="0" w:color="auto"/>
        <w:bottom w:val="none" w:sz="0" w:space="0" w:color="auto"/>
        <w:right w:val="none" w:sz="0" w:space="0" w:color="auto"/>
      </w:divBdr>
    </w:div>
    <w:div w:id="1699768526">
      <w:bodyDiv w:val="1"/>
      <w:marLeft w:val="0"/>
      <w:marRight w:val="0"/>
      <w:marTop w:val="0"/>
      <w:marBottom w:val="0"/>
      <w:divBdr>
        <w:top w:val="none" w:sz="0" w:space="0" w:color="auto"/>
        <w:left w:val="none" w:sz="0" w:space="0" w:color="auto"/>
        <w:bottom w:val="none" w:sz="0" w:space="0" w:color="auto"/>
        <w:right w:val="none" w:sz="0" w:space="0" w:color="auto"/>
      </w:divBdr>
    </w:div>
    <w:div w:id="1727872884">
      <w:bodyDiv w:val="1"/>
      <w:marLeft w:val="0"/>
      <w:marRight w:val="0"/>
      <w:marTop w:val="0"/>
      <w:marBottom w:val="0"/>
      <w:divBdr>
        <w:top w:val="none" w:sz="0" w:space="0" w:color="auto"/>
        <w:left w:val="none" w:sz="0" w:space="0" w:color="auto"/>
        <w:bottom w:val="none" w:sz="0" w:space="0" w:color="auto"/>
        <w:right w:val="none" w:sz="0" w:space="0" w:color="auto"/>
      </w:divBdr>
    </w:div>
    <w:div w:id="2102942516">
      <w:bodyDiv w:val="1"/>
      <w:marLeft w:val="0"/>
      <w:marRight w:val="0"/>
      <w:marTop w:val="0"/>
      <w:marBottom w:val="0"/>
      <w:divBdr>
        <w:top w:val="none" w:sz="0" w:space="0" w:color="auto"/>
        <w:left w:val="none" w:sz="0" w:space="0" w:color="auto"/>
        <w:bottom w:val="none" w:sz="0" w:space="0" w:color="auto"/>
        <w:right w:val="none" w:sz="0" w:space="0" w:color="auto"/>
      </w:divBdr>
      <w:divsChild>
        <w:div w:id="1503468343">
          <w:marLeft w:val="547"/>
          <w:marRight w:val="0"/>
          <w:marTop w:val="77"/>
          <w:marBottom w:val="0"/>
          <w:divBdr>
            <w:top w:val="none" w:sz="0" w:space="0" w:color="auto"/>
            <w:left w:val="none" w:sz="0" w:space="0" w:color="auto"/>
            <w:bottom w:val="none" w:sz="0" w:space="0" w:color="auto"/>
            <w:right w:val="none" w:sz="0" w:space="0" w:color="auto"/>
          </w:divBdr>
        </w:div>
        <w:div w:id="1294289615">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F1E72-05B9-4AF7-AB7C-0B0170E5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dc:creator>
  <cp:lastModifiedBy>Annie Rocheleau</cp:lastModifiedBy>
  <cp:revision>2</cp:revision>
  <cp:lastPrinted>2017-01-18T18:20:00Z</cp:lastPrinted>
  <dcterms:created xsi:type="dcterms:W3CDTF">2017-01-23T18:52:00Z</dcterms:created>
  <dcterms:modified xsi:type="dcterms:W3CDTF">2017-01-23T18:52:00Z</dcterms:modified>
</cp:coreProperties>
</file>