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1487" w14:textId="77777777" w:rsidR="007D2E91" w:rsidRPr="00A70D76" w:rsidRDefault="007D2E91" w:rsidP="00A70D76">
      <w:pPr>
        <w:pStyle w:val="Chapterbodytext"/>
      </w:pPr>
      <w:bookmarkStart w:id="0" w:name="_GoBack"/>
      <w:bookmarkEnd w:id="0"/>
    </w:p>
    <w:p w14:paraId="591A470C" w14:textId="77777777" w:rsidR="007D2E91" w:rsidRPr="00A70D76" w:rsidRDefault="0004506E" w:rsidP="00DE0971">
      <w:pPr>
        <w:pStyle w:val="Chapterbodytext"/>
      </w:pPr>
      <w:r>
        <w:rPr>
          <w:noProof/>
          <w:lang w:val="en-US" w:eastAsia="en-US"/>
        </w:rPr>
        <w:drawing>
          <wp:anchor distT="0" distB="0" distL="114300" distR="114300" simplePos="0" relativeHeight="251658240" behindDoc="1" locked="0" layoutInCell="1" allowOverlap="1" wp14:anchorId="3DD1886D" wp14:editId="2A6B86CE">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6024868D" w14:textId="77777777" w:rsidR="007D2E91" w:rsidRPr="00A70D76" w:rsidRDefault="007D2E91" w:rsidP="00DE0971">
      <w:pPr>
        <w:pStyle w:val="Chapterbodytext"/>
        <w:rPr>
          <w:highlight w:val="yellow"/>
        </w:rPr>
      </w:pPr>
    </w:p>
    <w:p w14:paraId="744ABE57" w14:textId="77777777" w:rsidR="007D2E91" w:rsidRPr="00A70D76" w:rsidRDefault="007D2E91" w:rsidP="00DE0971">
      <w:pPr>
        <w:pStyle w:val="Chapterbodytext"/>
        <w:rPr>
          <w:highlight w:val="yellow"/>
        </w:rPr>
      </w:pPr>
    </w:p>
    <w:p w14:paraId="7274F7C1" w14:textId="77777777" w:rsidR="007D2E91" w:rsidRPr="00A70D76" w:rsidRDefault="007D2E91" w:rsidP="00DE0971">
      <w:pPr>
        <w:pStyle w:val="Chapterbodytext"/>
        <w:rPr>
          <w:highlight w:val="yellow"/>
        </w:rPr>
      </w:pPr>
    </w:p>
    <w:p w14:paraId="0C51938A" w14:textId="77777777" w:rsidR="007D2E91" w:rsidRPr="00A70D76" w:rsidRDefault="007D2E91" w:rsidP="00DE0971">
      <w:pPr>
        <w:pStyle w:val="Chapterbodytext"/>
        <w:rPr>
          <w:highlight w:val="yellow"/>
        </w:rPr>
      </w:pPr>
    </w:p>
    <w:p w14:paraId="3095C251" w14:textId="77777777" w:rsidR="007D2E91" w:rsidRPr="00A70D76" w:rsidRDefault="007D2E91" w:rsidP="00DE0971">
      <w:pPr>
        <w:pStyle w:val="Chapterbodytext"/>
        <w:rPr>
          <w:highlight w:val="yellow"/>
        </w:rPr>
      </w:pPr>
    </w:p>
    <w:p w14:paraId="7C4C6534" w14:textId="77777777" w:rsidR="007D2E91" w:rsidRPr="00A70D76" w:rsidRDefault="007D2E91" w:rsidP="00DE0971">
      <w:pPr>
        <w:pStyle w:val="Chapterbodytext"/>
        <w:rPr>
          <w:highlight w:val="yellow"/>
        </w:rPr>
      </w:pPr>
    </w:p>
    <w:p w14:paraId="19D37C8C" w14:textId="77777777" w:rsidR="007D2E91" w:rsidRPr="00A70D76" w:rsidRDefault="007D2E91" w:rsidP="00DE0971">
      <w:pPr>
        <w:pStyle w:val="Chapterbodytext"/>
        <w:rPr>
          <w:highlight w:val="yellow"/>
        </w:rPr>
      </w:pPr>
    </w:p>
    <w:p w14:paraId="615DB5B0" w14:textId="77777777" w:rsidR="007D2E91" w:rsidRPr="00A70D76" w:rsidRDefault="007D2E91" w:rsidP="00DE0971">
      <w:pPr>
        <w:pStyle w:val="Chapterbodytext"/>
        <w:rPr>
          <w:highlight w:val="yellow"/>
        </w:rPr>
      </w:pPr>
    </w:p>
    <w:p w14:paraId="63100EEE" w14:textId="77777777" w:rsidR="007D2E91" w:rsidRPr="00A70D76" w:rsidRDefault="007D2E91" w:rsidP="00DE0971">
      <w:pPr>
        <w:pStyle w:val="Chapterbodytext"/>
        <w:rPr>
          <w:highlight w:val="yellow"/>
        </w:rPr>
      </w:pPr>
    </w:p>
    <w:p w14:paraId="7A19B32C" w14:textId="77777777" w:rsidR="007D2E91" w:rsidRPr="00A70D76" w:rsidRDefault="007D2E91" w:rsidP="00DE0971">
      <w:pPr>
        <w:pStyle w:val="Chapterbodytext"/>
        <w:rPr>
          <w:highlight w:val="yellow"/>
        </w:rPr>
      </w:pPr>
    </w:p>
    <w:p w14:paraId="46FBA2B5" w14:textId="77777777" w:rsidR="007D2E91" w:rsidRPr="00A70D76" w:rsidRDefault="007D2E91" w:rsidP="00DE0971">
      <w:pPr>
        <w:pStyle w:val="Chapterbodytext"/>
        <w:rPr>
          <w:highlight w:val="yellow"/>
        </w:rPr>
      </w:pPr>
    </w:p>
    <w:p w14:paraId="3E9DE02E" w14:textId="77777777" w:rsidR="007D2E91" w:rsidRPr="00A70D76" w:rsidRDefault="007D2E91" w:rsidP="00DE0971">
      <w:pPr>
        <w:pStyle w:val="Chapterbodytext"/>
        <w:rPr>
          <w:highlight w:val="yellow"/>
        </w:rPr>
      </w:pPr>
    </w:p>
    <w:p w14:paraId="49AE2A2A" w14:textId="77777777" w:rsidR="007D2E91" w:rsidRPr="00A70D76" w:rsidRDefault="007D2E91" w:rsidP="00DE0971">
      <w:pPr>
        <w:pStyle w:val="Chapterbodytext"/>
      </w:pPr>
    </w:p>
    <w:p w14:paraId="399464DA" w14:textId="77777777" w:rsidR="007D2E91" w:rsidRPr="00A70D76" w:rsidRDefault="007D2E91" w:rsidP="007528B4">
      <w:pPr>
        <w:pStyle w:val="Heading1"/>
        <w:jc w:val="left"/>
        <w:rPr>
          <w:rFonts w:ascii="Calibri" w:hAnsi="Calibri"/>
          <w:b/>
          <w:bCs/>
          <w:color w:val="003366"/>
          <w:sz w:val="48"/>
          <w:szCs w:val="48"/>
          <w:lang w:val="en-CA"/>
        </w:rPr>
      </w:pPr>
      <w:r w:rsidRPr="00A70D76">
        <w:rPr>
          <w:rFonts w:ascii="Calibri" w:hAnsi="Calibri"/>
          <w:b/>
          <w:bCs/>
          <w:color w:val="003366"/>
          <w:sz w:val="48"/>
          <w:szCs w:val="48"/>
          <w:lang w:val="en-CA"/>
        </w:rPr>
        <w:t>Pre-testing and Evaluation of the “Take charge of your financial future” Ad Campaign</w:t>
      </w:r>
    </w:p>
    <w:p w14:paraId="0CEDBFA3" w14:textId="77777777" w:rsidR="007D2E91" w:rsidRPr="00344E6C" w:rsidRDefault="007D2E91" w:rsidP="00DE0971">
      <w:pPr>
        <w:pStyle w:val="Heading2"/>
        <w:jc w:val="left"/>
        <w:rPr>
          <w:rFonts w:ascii="Calibri" w:hAnsi="Calibri"/>
          <w:sz w:val="40"/>
          <w:szCs w:val="40"/>
          <w:lang w:val="en-CA"/>
        </w:rPr>
      </w:pPr>
      <w:bookmarkStart w:id="1" w:name="_Hlk64624697"/>
      <w:r w:rsidRPr="00344E6C">
        <w:rPr>
          <w:rFonts w:ascii="Calibri" w:hAnsi="Calibri"/>
          <w:sz w:val="40"/>
          <w:szCs w:val="40"/>
          <w:lang w:val="en-CA"/>
        </w:rPr>
        <w:t>Summary</w:t>
      </w:r>
    </w:p>
    <w:bookmarkEnd w:id="1"/>
    <w:p w14:paraId="17DD8BC9" w14:textId="77777777" w:rsidR="007D2E91" w:rsidRPr="00A70D76" w:rsidRDefault="007D2E91" w:rsidP="00DE0971">
      <w:pPr>
        <w:pStyle w:val="Chapterbodytext"/>
      </w:pPr>
    </w:p>
    <w:p w14:paraId="29486102" w14:textId="77777777" w:rsidR="007D2E91" w:rsidRPr="00A70D76" w:rsidRDefault="007D2E91" w:rsidP="00DE0971">
      <w:pPr>
        <w:pStyle w:val="Chapterbodytext"/>
        <w:rPr>
          <w:b/>
          <w:bCs/>
          <w:color w:val="003366"/>
          <w:sz w:val="28"/>
          <w:szCs w:val="28"/>
        </w:rPr>
      </w:pPr>
      <w:r w:rsidRPr="00A70D76">
        <w:rPr>
          <w:b/>
          <w:bCs/>
          <w:color w:val="003366"/>
          <w:sz w:val="28"/>
          <w:szCs w:val="28"/>
        </w:rPr>
        <w:t xml:space="preserve">Prepared for the Financial Consumer Agency of </w:t>
      </w:r>
      <w:smartTag w:uri="urn:schemas-microsoft-com:office:smarttags" w:element="place">
        <w:smartTag w:uri="urn:schemas-microsoft-com:office:smarttags" w:element="country-region">
          <w:r w:rsidRPr="00A70D76">
            <w:rPr>
              <w:b/>
              <w:bCs/>
              <w:color w:val="003366"/>
              <w:sz w:val="28"/>
              <w:szCs w:val="28"/>
            </w:rPr>
            <w:t>Canada</w:t>
          </w:r>
        </w:smartTag>
      </w:smartTag>
      <w:r w:rsidRPr="00A70D76">
        <w:rPr>
          <w:b/>
          <w:bCs/>
          <w:color w:val="003366"/>
          <w:sz w:val="28"/>
          <w:szCs w:val="28"/>
        </w:rPr>
        <w:t xml:space="preserve"> (FCAC) </w:t>
      </w:r>
    </w:p>
    <w:p w14:paraId="58BE4C09" w14:textId="77777777" w:rsidR="007D2E91" w:rsidRPr="00A70D76" w:rsidRDefault="007D2E91" w:rsidP="00DE0971">
      <w:pPr>
        <w:pStyle w:val="Chapterbodytext"/>
        <w:rPr>
          <w:b/>
          <w:bCs/>
        </w:rPr>
      </w:pPr>
      <w:r w:rsidRPr="00A70D76">
        <w:rPr>
          <w:b/>
          <w:bCs/>
        </w:rPr>
        <w:t>Supplier: EKOS RESEARCH ASSOCIATES INC.</w:t>
      </w:r>
    </w:p>
    <w:p w14:paraId="1777EBF5" w14:textId="77777777" w:rsidR="007D2E91" w:rsidRPr="00A70D76" w:rsidRDefault="007D2E91" w:rsidP="00DE0971">
      <w:pPr>
        <w:pStyle w:val="Chapterbodytext"/>
      </w:pPr>
      <w:r w:rsidRPr="00A70D76">
        <w:rPr>
          <w:b/>
          <w:bCs/>
        </w:rPr>
        <w:t>Contract Number:</w:t>
      </w:r>
      <w:r w:rsidRPr="00A70D76">
        <w:t xml:space="preserve"> 5R000-200546/001/CY</w:t>
      </w:r>
    </w:p>
    <w:p w14:paraId="6EA3E50D" w14:textId="77777777" w:rsidR="007D2E91" w:rsidRPr="00A70D76" w:rsidRDefault="007D2E91" w:rsidP="00DE0971">
      <w:pPr>
        <w:pStyle w:val="Chapterbodytext"/>
      </w:pPr>
      <w:bookmarkStart w:id="2" w:name="OLE_LINK5"/>
      <w:bookmarkStart w:id="3" w:name="OLE_LINK6"/>
      <w:r w:rsidRPr="00A70D76">
        <w:rPr>
          <w:b/>
          <w:bCs/>
        </w:rPr>
        <w:t>Contract Value:</w:t>
      </w:r>
      <w:r w:rsidRPr="00A70D76">
        <w:t xml:space="preserve"> $99,983.68</w:t>
      </w:r>
    </w:p>
    <w:bookmarkEnd w:id="2"/>
    <w:bookmarkEnd w:id="3"/>
    <w:p w14:paraId="209715C4" w14:textId="77777777" w:rsidR="007D2E91" w:rsidRPr="00A70D76" w:rsidRDefault="007D2E91" w:rsidP="00DE0971">
      <w:pPr>
        <w:pStyle w:val="Chapterbodytext"/>
      </w:pPr>
      <w:r w:rsidRPr="00A70D76">
        <w:rPr>
          <w:b/>
          <w:bCs/>
        </w:rPr>
        <w:t>Award Date:</w:t>
      </w:r>
      <w:r w:rsidRPr="00A70D76">
        <w:t xml:space="preserve"> September 13, 2020</w:t>
      </w:r>
    </w:p>
    <w:p w14:paraId="5F2AC55C" w14:textId="06DF8050" w:rsidR="007D2E91" w:rsidRPr="00A70D76" w:rsidRDefault="007D2E91" w:rsidP="00DE0971">
      <w:pPr>
        <w:pStyle w:val="Chapterbodytext"/>
      </w:pPr>
      <w:r w:rsidRPr="00A70D76">
        <w:rPr>
          <w:b/>
          <w:bCs/>
        </w:rPr>
        <w:t>Delivery Date:</w:t>
      </w:r>
      <w:r w:rsidRPr="00A70D76">
        <w:t xml:space="preserve"> January </w:t>
      </w:r>
      <w:r>
        <w:t>25</w:t>
      </w:r>
      <w:r w:rsidRPr="00A70D76">
        <w:t xml:space="preserve">, </w:t>
      </w:r>
      <w:r w:rsidR="00D578F1" w:rsidRPr="00A70D76">
        <w:t>20</w:t>
      </w:r>
      <w:r w:rsidR="00D578F1">
        <w:t>21</w:t>
      </w:r>
    </w:p>
    <w:p w14:paraId="06E24D5E" w14:textId="77777777" w:rsidR="007D2E91" w:rsidRPr="00A70D76" w:rsidRDefault="007D2E91" w:rsidP="00DE0971">
      <w:pPr>
        <w:pStyle w:val="Chapterbodytext"/>
      </w:pPr>
    </w:p>
    <w:p w14:paraId="32BEB4B0" w14:textId="77777777" w:rsidR="007D2E91" w:rsidRPr="00A70D76" w:rsidRDefault="007D2E91" w:rsidP="00DE0971">
      <w:pPr>
        <w:pStyle w:val="Chapterbodytext"/>
      </w:pPr>
    </w:p>
    <w:p w14:paraId="59269DDA" w14:textId="77777777" w:rsidR="007D2E91" w:rsidRPr="00A70D76" w:rsidRDefault="007D2E91" w:rsidP="00DE0971">
      <w:pPr>
        <w:pStyle w:val="Chapterbodytext"/>
      </w:pPr>
      <w:r w:rsidRPr="00A70D76">
        <w:rPr>
          <w:b/>
          <w:bCs/>
        </w:rPr>
        <w:t>Registration Number:</w:t>
      </w:r>
      <w:r w:rsidRPr="00A70D76">
        <w:t xml:space="preserve"> POR 0</w:t>
      </w:r>
      <w:r>
        <w:t>32</w:t>
      </w:r>
      <w:r w:rsidRPr="00A70D76">
        <w:t>-20</w:t>
      </w:r>
    </w:p>
    <w:p w14:paraId="39828CD6" w14:textId="77777777" w:rsidR="007D2E91" w:rsidRPr="00A70D76" w:rsidRDefault="007D2E91" w:rsidP="00DE0971">
      <w:pPr>
        <w:pStyle w:val="Chapterbodytext"/>
      </w:pPr>
      <w:r w:rsidRPr="00A70D76">
        <w:t xml:space="preserve">For more information on this report, please contact </w:t>
      </w:r>
      <w:bookmarkStart w:id="4" w:name="_Hlk61594939"/>
      <w:r w:rsidRPr="00A70D76">
        <w:t>info@fcac-acfc.gc.ca</w:t>
      </w:r>
      <w:bookmarkEnd w:id="4"/>
    </w:p>
    <w:p w14:paraId="6061C302" w14:textId="77777777" w:rsidR="007D2E91" w:rsidRPr="00A70D76" w:rsidRDefault="007D2E91" w:rsidP="00DE0971">
      <w:pPr>
        <w:pStyle w:val="Chapterbodytext"/>
      </w:pPr>
    </w:p>
    <w:p w14:paraId="218318B1" w14:textId="77777777" w:rsidR="007D2E91" w:rsidRPr="00A70D76" w:rsidRDefault="007D2E91" w:rsidP="00DE0971">
      <w:pPr>
        <w:pStyle w:val="Chapterbodytext"/>
      </w:pPr>
    </w:p>
    <w:p w14:paraId="3D570688" w14:textId="77777777" w:rsidR="007D2E91" w:rsidRPr="002E6D5E" w:rsidRDefault="007D2E91" w:rsidP="00DE0971">
      <w:pPr>
        <w:pStyle w:val="Chapterbodytext"/>
        <w:jc w:val="center"/>
        <w:rPr>
          <w:b/>
          <w:bCs/>
          <w:i/>
          <w:iCs/>
          <w:lang w:val="fr-FR"/>
        </w:rPr>
      </w:pPr>
      <w:r w:rsidRPr="002E6D5E">
        <w:rPr>
          <w:b/>
          <w:bCs/>
          <w:i/>
          <w:iCs/>
          <w:lang w:val="fr-FR"/>
        </w:rPr>
        <w:t>Ce rapport est aussi disponible en français</w:t>
      </w:r>
    </w:p>
    <w:p w14:paraId="4EA26D24" w14:textId="77777777" w:rsidR="007D2E91" w:rsidRPr="002E6D5E" w:rsidRDefault="007D2E91" w:rsidP="008D2CE7">
      <w:pPr>
        <w:pStyle w:val="Chapterbodytext"/>
        <w:rPr>
          <w:lang w:val="fr-FR"/>
        </w:rPr>
      </w:pPr>
    </w:p>
    <w:p w14:paraId="4841E0D5" w14:textId="77777777" w:rsidR="007D2E91" w:rsidRPr="002E6D5E" w:rsidRDefault="0004506E" w:rsidP="008D2CE7">
      <w:pPr>
        <w:pStyle w:val="Chapterbodytext"/>
        <w:rPr>
          <w:lang w:val="fr-FR"/>
        </w:rPr>
      </w:pPr>
      <w:r>
        <w:rPr>
          <w:noProof/>
          <w:lang w:val="en-US" w:eastAsia="en-US"/>
        </w:rPr>
        <w:drawing>
          <wp:anchor distT="0" distB="0" distL="114300" distR="0" simplePos="0" relativeHeight="251659264" behindDoc="1" locked="0" layoutInCell="1" allowOverlap="1" wp14:anchorId="7A1F5211" wp14:editId="1E9C5016">
            <wp:simplePos x="0" y="0"/>
            <wp:positionH relativeFrom="column">
              <wp:posOffset>4286250</wp:posOffset>
            </wp:positionH>
            <wp:positionV relativeFrom="paragraph">
              <wp:posOffset>137795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p>
    <w:p w14:paraId="225B34A8" w14:textId="77777777" w:rsidR="007D2E91" w:rsidRPr="002E6D5E" w:rsidRDefault="007D2E91" w:rsidP="008D2CE7">
      <w:pPr>
        <w:pStyle w:val="Chapterbodytext"/>
        <w:rPr>
          <w:lang w:val="fr-FR"/>
        </w:rPr>
      </w:pPr>
    </w:p>
    <w:p w14:paraId="1FFFCC60" w14:textId="77777777" w:rsidR="007D2E91" w:rsidRPr="00A70D76" w:rsidRDefault="007D2E91" w:rsidP="00A70D76">
      <w:pPr>
        <w:pStyle w:val="Chapterbodytext"/>
        <w:rPr>
          <w:b/>
          <w:bCs/>
          <w:color w:val="003366"/>
          <w:sz w:val="32"/>
          <w:szCs w:val="32"/>
          <w:highlight w:val="yellow"/>
        </w:rPr>
      </w:pPr>
      <w:r w:rsidRPr="00F1204C">
        <w:rPr>
          <w:lang w:val="en-US" w:eastAsia="en-US"/>
        </w:rPr>
        <w:br w:type="page"/>
      </w:r>
      <w:bookmarkStart w:id="5" w:name="_Hlk57374127"/>
      <w:r w:rsidRPr="00A70D76">
        <w:rPr>
          <w:b/>
          <w:bCs/>
          <w:color w:val="003366"/>
          <w:sz w:val="32"/>
          <w:szCs w:val="32"/>
        </w:rPr>
        <w:lastRenderedPageBreak/>
        <w:t>Pre-testing and Evaluation of the “Take charge of your financial future” Ad Campaign</w:t>
      </w:r>
    </w:p>
    <w:p w14:paraId="33505352" w14:textId="77777777" w:rsidR="007D2E91" w:rsidRPr="00260D2E" w:rsidRDefault="007D2E91" w:rsidP="00A70D76">
      <w:pPr>
        <w:pStyle w:val="Chapterbodytext"/>
        <w:rPr>
          <w:b/>
          <w:bCs/>
          <w:i/>
          <w:iCs/>
          <w:sz w:val="28"/>
          <w:szCs w:val="28"/>
        </w:rPr>
      </w:pPr>
      <w:r w:rsidRPr="00260D2E">
        <w:rPr>
          <w:b/>
          <w:bCs/>
          <w:i/>
          <w:iCs/>
          <w:sz w:val="28"/>
          <w:szCs w:val="28"/>
        </w:rPr>
        <w:t>Summary</w:t>
      </w:r>
    </w:p>
    <w:p w14:paraId="2B993F77" w14:textId="77777777" w:rsidR="007D2E91" w:rsidRPr="00A70D76" w:rsidRDefault="007D2E91" w:rsidP="00A70D76">
      <w:pPr>
        <w:pStyle w:val="Chapterbodytext"/>
      </w:pPr>
    </w:p>
    <w:p w14:paraId="3124876E" w14:textId="77777777" w:rsidR="007D2E91" w:rsidRPr="00A70D76" w:rsidRDefault="007D2E91" w:rsidP="00A70D76">
      <w:pPr>
        <w:pStyle w:val="Chapterbodytext"/>
        <w:rPr>
          <w:b/>
          <w:bCs/>
        </w:rPr>
      </w:pPr>
      <w:r w:rsidRPr="00A70D76">
        <w:rPr>
          <w:b/>
          <w:bCs/>
        </w:rPr>
        <w:t xml:space="preserve">Prepared for the Financial Consumer Agency of </w:t>
      </w:r>
      <w:smartTag w:uri="urn:schemas-microsoft-com:office:smarttags" w:element="place">
        <w:smartTag w:uri="urn:schemas-microsoft-com:office:smarttags" w:element="country-region">
          <w:r w:rsidRPr="00A70D76">
            <w:rPr>
              <w:b/>
              <w:bCs/>
            </w:rPr>
            <w:t>Canada</w:t>
          </w:r>
        </w:smartTag>
      </w:smartTag>
      <w:r w:rsidRPr="00A70D76">
        <w:rPr>
          <w:b/>
          <w:bCs/>
        </w:rPr>
        <w:t xml:space="preserve"> (FCAC) </w:t>
      </w:r>
    </w:p>
    <w:p w14:paraId="616C6093" w14:textId="77777777" w:rsidR="007D2E91" w:rsidRPr="00A70D76" w:rsidRDefault="007D2E91" w:rsidP="00A70D76">
      <w:pPr>
        <w:pStyle w:val="Chapterbodytext"/>
        <w:rPr>
          <w:b/>
          <w:bCs/>
        </w:rPr>
      </w:pPr>
      <w:r w:rsidRPr="00A70D76">
        <w:rPr>
          <w:b/>
          <w:bCs/>
        </w:rPr>
        <w:t>Supplier: EKOS RESEARCH ASSOCIATES INC.</w:t>
      </w:r>
    </w:p>
    <w:p w14:paraId="15C1CA89" w14:textId="474A4093" w:rsidR="007D2E91" w:rsidRPr="00A70D76" w:rsidRDefault="007D2E91" w:rsidP="00A70D76">
      <w:pPr>
        <w:pStyle w:val="Chapterbodytext"/>
      </w:pPr>
      <w:r w:rsidRPr="00A70D76">
        <w:rPr>
          <w:b/>
          <w:bCs/>
        </w:rPr>
        <w:t>Date:</w:t>
      </w:r>
      <w:r w:rsidRPr="00A70D76">
        <w:t xml:space="preserve"> January </w:t>
      </w:r>
      <w:r>
        <w:t>2</w:t>
      </w:r>
      <w:r w:rsidRPr="00A70D76">
        <w:t xml:space="preserve">5, </w:t>
      </w:r>
      <w:r w:rsidR="00344E6C" w:rsidRPr="00A70D76">
        <w:t>20</w:t>
      </w:r>
      <w:r w:rsidR="00344E6C">
        <w:t>21</w:t>
      </w:r>
    </w:p>
    <w:p w14:paraId="4683A929" w14:textId="77777777" w:rsidR="007D2E91" w:rsidRPr="00A70D76" w:rsidRDefault="007D2E91" w:rsidP="00A70D76">
      <w:pPr>
        <w:pStyle w:val="Chapterbodytext"/>
      </w:pPr>
    </w:p>
    <w:p w14:paraId="43FD56FF" w14:textId="77777777" w:rsidR="007D2E91" w:rsidRPr="00A70D76" w:rsidRDefault="007D2E91" w:rsidP="00A70D76">
      <w:pPr>
        <w:pStyle w:val="Chapterbodytext"/>
      </w:pPr>
      <w:r w:rsidRPr="00A70D76">
        <w:t>This public opinion research report presents the results of a</w:t>
      </w:r>
      <w:r>
        <w:t xml:space="preserve"> series of focus groups and two </w:t>
      </w:r>
      <w:r w:rsidRPr="00A70D76">
        <w:t>online survey</w:t>
      </w:r>
      <w:r>
        <w:t>s</w:t>
      </w:r>
      <w:r w:rsidRPr="00A70D76">
        <w:t xml:space="preserve"> conducted by EKOS Research Associates Inc.</w:t>
      </w:r>
      <w:r w:rsidRPr="00A70D76">
        <w:rPr>
          <w:b/>
        </w:rPr>
        <w:t xml:space="preserve"> </w:t>
      </w:r>
      <w:r w:rsidRPr="00A70D76">
        <w:t xml:space="preserve">on behalf of Financial Consumer Agency of Canada (FCAC). </w:t>
      </w:r>
    </w:p>
    <w:p w14:paraId="68FF4AF4" w14:textId="77777777" w:rsidR="007D2E91" w:rsidRPr="00A70D76" w:rsidRDefault="007D2E91" w:rsidP="00A70D76">
      <w:pPr>
        <w:rPr>
          <w:lang w:val="en-CA"/>
        </w:rPr>
      </w:pPr>
    </w:p>
    <w:p w14:paraId="24EB5613" w14:textId="069C1422" w:rsidR="007D2E91" w:rsidRPr="002E6D5E" w:rsidRDefault="007D2E91" w:rsidP="00EB273F">
      <w:pPr>
        <w:pStyle w:val="Chapterbodytext"/>
        <w:rPr>
          <w:lang w:val="fr-FR"/>
        </w:rPr>
      </w:pPr>
      <w:r w:rsidRPr="002E6D5E">
        <w:rPr>
          <w:lang w:val="fr-FR"/>
        </w:rPr>
        <w:t xml:space="preserve">Cette publication est aussi disponible en français sous </w:t>
      </w:r>
      <w:r w:rsidRPr="00953876">
        <w:rPr>
          <w:lang w:val="fr-FR"/>
        </w:rPr>
        <w:t>le titre </w:t>
      </w:r>
      <w:r>
        <w:rPr>
          <w:lang w:val="fr-FR"/>
        </w:rPr>
        <w:t xml:space="preserve">: </w:t>
      </w:r>
      <w:r w:rsidR="005755B8" w:rsidRPr="00F1204C">
        <w:rPr>
          <w:lang w:val="fr-FR"/>
        </w:rPr>
        <w:t xml:space="preserve">Essai préliminaire et évaluation de la campagne publicitaire « </w:t>
      </w:r>
      <w:r w:rsidR="00344E6C" w:rsidRPr="00344E6C">
        <w:rPr>
          <w:lang w:val="fr-FR"/>
        </w:rPr>
        <w:t>Prenez votre avenir financier en main</w:t>
      </w:r>
      <w:r w:rsidR="005755B8" w:rsidRPr="00F1204C">
        <w:rPr>
          <w:lang w:val="fr-FR"/>
        </w:rPr>
        <w:t xml:space="preserve"> » : Sommaire</w:t>
      </w:r>
    </w:p>
    <w:p w14:paraId="7351CBCD" w14:textId="77777777" w:rsidR="007D2E91" w:rsidRPr="002E6D5E" w:rsidRDefault="007D2E91" w:rsidP="00A70D76">
      <w:pPr>
        <w:pStyle w:val="Chapterbodytext"/>
        <w:rPr>
          <w:lang w:val="fr-FR"/>
        </w:rPr>
      </w:pPr>
    </w:p>
    <w:p w14:paraId="24045A74" w14:textId="0A6701A8" w:rsidR="007D2E91" w:rsidRPr="00A70D76" w:rsidRDefault="007D2E91" w:rsidP="009C4AA0">
      <w:pPr>
        <w:pStyle w:val="Chapterbodytext"/>
      </w:pPr>
      <w:r w:rsidRPr="00A70D76">
        <w:t>This publication may be reproduced for non-commercial purposes only. Prior written permission must be obtained from</w:t>
      </w:r>
      <w:r>
        <w:t xml:space="preserve"> the Financial Consumer Agency of Canada</w:t>
      </w:r>
      <w:r w:rsidRPr="00A70D76">
        <w:t xml:space="preserve">. For more information on this report, please contact </w:t>
      </w:r>
      <w:r>
        <w:t xml:space="preserve">the Financial Consumer Agency of Canada </w:t>
      </w:r>
      <w:r w:rsidRPr="00A70D76">
        <w:t>at info@fcac-acfc.gc.ca</w:t>
      </w:r>
      <w:r w:rsidR="00344E6C">
        <w:t>.</w:t>
      </w:r>
    </w:p>
    <w:p w14:paraId="560EEC08" w14:textId="77777777" w:rsidR="007D2E91" w:rsidRDefault="007D2E91" w:rsidP="00A70D76">
      <w:pPr>
        <w:pStyle w:val="Chapterbodytext"/>
        <w:rPr>
          <w:rStyle w:val="Strong"/>
        </w:rPr>
      </w:pPr>
    </w:p>
    <w:p w14:paraId="1581CB39" w14:textId="77777777" w:rsidR="007D2E91" w:rsidRPr="00A70D76" w:rsidRDefault="007D2E91" w:rsidP="00A70D76">
      <w:pPr>
        <w:pStyle w:val="Chapterbodytext"/>
      </w:pPr>
      <w:r w:rsidRPr="00A70D76">
        <w:rPr>
          <w:rStyle w:val="Strong"/>
        </w:rPr>
        <w:t>Catalogue Number:</w:t>
      </w:r>
    </w:p>
    <w:p w14:paraId="2F5DF4CB" w14:textId="77777777" w:rsidR="007D2E91" w:rsidRPr="00A70D76" w:rsidRDefault="007D2E91" w:rsidP="00A70D76">
      <w:pPr>
        <w:pStyle w:val="Chapterbodytext"/>
      </w:pPr>
      <w:r>
        <w:t>FC5-68/2-2021E-PDF</w:t>
      </w:r>
    </w:p>
    <w:p w14:paraId="4284D43B" w14:textId="77777777" w:rsidR="007D2E91" w:rsidRPr="00A70D76" w:rsidRDefault="007D2E91" w:rsidP="00A70D76">
      <w:pPr>
        <w:pStyle w:val="Chapterbodytext"/>
      </w:pPr>
    </w:p>
    <w:p w14:paraId="7CCEB605" w14:textId="77777777" w:rsidR="007D2E91" w:rsidRPr="00A70D76" w:rsidRDefault="007D2E91" w:rsidP="00A70D76">
      <w:pPr>
        <w:pStyle w:val="Chapterbodytext"/>
      </w:pPr>
      <w:r w:rsidRPr="00A70D76">
        <w:rPr>
          <w:rStyle w:val="Strong"/>
        </w:rPr>
        <w:t>International Standard Book Number (ISBN):</w:t>
      </w:r>
    </w:p>
    <w:p w14:paraId="2129CECF" w14:textId="77777777" w:rsidR="007D2E91" w:rsidRPr="00A70D76" w:rsidRDefault="007D2E91" w:rsidP="007D00F0">
      <w:pPr>
        <w:pStyle w:val="Chapterbodytext"/>
      </w:pPr>
      <w:r>
        <w:t>978-0-660-3758</w:t>
      </w:r>
      <w:r w:rsidR="005755B8">
        <w:t>7</w:t>
      </w:r>
      <w:r>
        <w:t>-</w:t>
      </w:r>
      <w:r w:rsidR="005755B8">
        <w:t>8</w:t>
      </w:r>
    </w:p>
    <w:p w14:paraId="5BEFB1BD" w14:textId="77777777" w:rsidR="007D2E91" w:rsidRPr="00A70D76" w:rsidRDefault="007D2E91" w:rsidP="00A70D76">
      <w:pPr>
        <w:pStyle w:val="Chapterbodytext"/>
      </w:pPr>
    </w:p>
    <w:p w14:paraId="158297FF" w14:textId="77777777" w:rsidR="007D2E91" w:rsidRPr="00A70D76" w:rsidRDefault="007D2E91" w:rsidP="00953876">
      <w:pPr>
        <w:pStyle w:val="Chapterbodytext"/>
      </w:pPr>
      <w:r w:rsidRPr="00A70D76">
        <w:rPr>
          <w:rStyle w:val="Strong"/>
        </w:rPr>
        <w:t>Related publications registration number: POR 3</w:t>
      </w:r>
      <w:r>
        <w:rPr>
          <w:rStyle w:val="Strong"/>
        </w:rPr>
        <w:t>2</w:t>
      </w:r>
      <w:r w:rsidRPr="00A70D76">
        <w:rPr>
          <w:rStyle w:val="Strong"/>
        </w:rPr>
        <w:t>-</w:t>
      </w:r>
      <w:r>
        <w:rPr>
          <w:rStyle w:val="Strong"/>
        </w:rPr>
        <w:t>20</w:t>
      </w:r>
    </w:p>
    <w:p w14:paraId="4E0DE089" w14:textId="77777777" w:rsidR="007D2E91" w:rsidRPr="00A70D76" w:rsidRDefault="007D2E91" w:rsidP="00A70D76">
      <w:pPr>
        <w:pStyle w:val="Chapterbodytext"/>
      </w:pPr>
    </w:p>
    <w:p w14:paraId="056BCBE1" w14:textId="77777777" w:rsidR="007D2E91" w:rsidRPr="00344E6C" w:rsidRDefault="007D2E91" w:rsidP="007D00F0">
      <w:pPr>
        <w:pStyle w:val="Chapterbodytext"/>
        <w:rPr>
          <w:lang w:val="fr-FR"/>
        </w:rPr>
      </w:pPr>
      <w:r w:rsidRPr="00344E6C">
        <w:rPr>
          <w:lang w:val="fr-FR"/>
        </w:rPr>
        <w:t xml:space="preserve">Catalogue </w:t>
      </w:r>
      <w:proofErr w:type="spellStart"/>
      <w:r w:rsidRPr="00344E6C">
        <w:rPr>
          <w:lang w:val="fr-FR"/>
        </w:rPr>
        <w:t>Number</w:t>
      </w:r>
      <w:proofErr w:type="spellEnd"/>
      <w:r w:rsidRPr="00344E6C">
        <w:rPr>
          <w:lang w:val="fr-FR"/>
        </w:rPr>
        <w:t xml:space="preserve"> FC5-68/2-2021F-PDF</w:t>
      </w:r>
    </w:p>
    <w:p w14:paraId="13791DA1" w14:textId="77777777" w:rsidR="007D2E91" w:rsidRPr="00344E6C" w:rsidRDefault="007D2E91" w:rsidP="007D00F0">
      <w:pPr>
        <w:pStyle w:val="Chapterbodytext"/>
        <w:rPr>
          <w:lang w:val="fr-FR"/>
        </w:rPr>
      </w:pPr>
      <w:r w:rsidRPr="00344E6C">
        <w:rPr>
          <w:lang w:val="fr-FR"/>
        </w:rPr>
        <w:t>ISBN 978-0-660-37589-2</w:t>
      </w:r>
    </w:p>
    <w:p w14:paraId="28726761" w14:textId="77777777" w:rsidR="007D2E91" w:rsidRPr="00344E6C" w:rsidRDefault="007D2E91" w:rsidP="00A70D76">
      <w:pPr>
        <w:pStyle w:val="Chapterbodytext"/>
        <w:rPr>
          <w:lang w:val="fr-FR"/>
        </w:rPr>
      </w:pPr>
    </w:p>
    <w:p w14:paraId="47F4CF6D" w14:textId="77777777" w:rsidR="007D2E91" w:rsidRPr="00A70D76" w:rsidRDefault="007D2E91" w:rsidP="00A70D76">
      <w:pPr>
        <w:pStyle w:val="Chapterbodytext"/>
      </w:pPr>
      <w:r w:rsidRPr="00A70D76">
        <w:t>© Her Majesty the Queen in Right of Canada, as represented by the</w:t>
      </w:r>
      <w:r>
        <w:t xml:space="preserve"> Commissioner of the Financial Consumer Agency of Canada</w:t>
      </w:r>
      <w:r w:rsidRPr="00385DEE">
        <w:t>,</w:t>
      </w:r>
      <w:r w:rsidRPr="00A70D76">
        <w:t xml:space="preserve"> 2021</w:t>
      </w:r>
    </w:p>
    <w:p w14:paraId="15C6649D" w14:textId="77777777" w:rsidR="007D2E91" w:rsidRPr="00A70D76" w:rsidRDefault="007D2E91" w:rsidP="00A70D76">
      <w:pPr>
        <w:rPr>
          <w:lang w:val="en-CA"/>
        </w:rPr>
      </w:pPr>
    </w:p>
    <w:bookmarkEnd w:id="5"/>
    <w:p w14:paraId="770E909B" w14:textId="77777777" w:rsidR="007D2E91" w:rsidRPr="00A70D76" w:rsidRDefault="007D2E91">
      <w:pPr>
        <w:rPr>
          <w:rFonts w:ascii="Calibri" w:hAnsi="Calibri" w:cs="Calibri"/>
          <w:szCs w:val="20"/>
          <w:lang w:val="en-CA" w:eastAsia="en-US"/>
        </w:rPr>
        <w:sectPr w:rsidR="007D2E91" w:rsidRPr="00A70D76" w:rsidSect="002060B4">
          <w:footerReference w:type="default" r:id="rId9"/>
          <w:pgSz w:w="12240" w:h="15840" w:code="1"/>
          <w:pgMar w:top="1440" w:right="1440" w:bottom="1440" w:left="1440" w:header="720" w:footer="576" w:gutter="0"/>
          <w:cols w:space="720"/>
          <w:titlePg/>
          <w:docGrid w:linePitch="360"/>
        </w:sectPr>
      </w:pPr>
    </w:p>
    <w:p w14:paraId="04CE85A5" w14:textId="77777777" w:rsidR="007D2E91" w:rsidRPr="00A70D76" w:rsidRDefault="007D2E91" w:rsidP="00DE0971">
      <w:pPr>
        <w:pStyle w:val="Heading3"/>
        <w:numPr>
          <w:ilvl w:val="0"/>
          <w:numId w:val="0"/>
        </w:numPr>
        <w:rPr>
          <w:b/>
          <w:bCs/>
        </w:rPr>
      </w:pPr>
      <w:bookmarkStart w:id="6" w:name="_Toc65495859"/>
      <w:r w:rsidRPr="00A70D76">
        <w:rPr>
          <w:b/>
          <w:bCs/>
        </w:rPr>
        <w:lastRenderedPageBreak/>
        <w:t>Summary</w:t>
      </w:r>
      <w:bookmarkEnd w:id="6"/>
    </w:p>
    <w:p w14:paraId="01E9BDD2" w14:textId="77777777" w:rsidR="007D2E91" w:rsidRPr="00A70D76" w:rsidRDefault="007D2E91" w:rsidP="00DE0971">
      <w:pPr>
        <w:pStyle w:val="Chapterbodytext"/>
      </w:pPr>
    </w:p>
    <w:p w14:paraId="7F23E193" w14:textId="77777777" w:rsidR="007D2E91" w:rsidRPr="00A70D76" w:rsidRDefault="007D2E91" w:rsidP="002F2741">
      <w:pPr>
        <w:pStyle w:val="Heading4"/>
        <w:rPr>
          <w:lang w:val="en-CA"/>
        </w:rPr>
      </w:pPr>
      <w:bookmarkStart w:id="7" w:name="_Toc65495860"/>
      <w:r w:rsidRPr="00A70D76">
        <w:rPr>
          <w:lang w:val="en-CA"/>
        </w:rPr>
        <w:t>Campaign Background</w:t>
      </w:r>
      <w:bookmarkEnd w:id="7"/>
    </w:p>
    <w:p w14:paraId="1E91BEC4" w14:textId="77777777" w:rsidR="007D2E91" w:rsidRPr="00A70D76" w:rsidRDefault="007D2E91" w:rsidP="00DE0971">
      <w:pPr>
        <w:pStyle w:val="Chapterbodytext"/>
      </w:pPr>
    </w:p>
    <w:p w14:paraId="58502112" w14:textId="77777777" w:rsidR="007D2E91" w:rsidRPr="00A70D76" w:rsidRDefault="007D2E91" w:rsidP="00931025">
      <w:pPr>
        <w:pStyle w:val="Chapterbodytext"/>
        <w:rPr>
          <w:lang w:eastAsia="en-CA"/>
        </w:rPr>
      </w:pPr>
      <w:r w:rsidRPr="00A70D76">
        <w:rPr>
          <w:lang w:eastAsia="en-CA"/>
        </w:rPr>
        <w:t>Strengthening the financial literacy of Canadians is a key pillar of the Financial Consumer Agency of Canada’s (FCAC) consumer protection mandate. As the financial marketplace grows increasingly complex, it is more crucial than ever that Canadians have the knowledge, skills, and confidence to make informed decisions about the financial products and services that best meet their needs. Financial literacy is important not only for the financial well-being of individuals, but also for the economy. Understanding the basics about money is as essential today as numeracy and basic literacy.</w:t>
      </w:r>
    </w:p>
    <w:p w14:paraId="15118E67" w14:textId="77777777" w:rsidR="007D2E91" w:rsidRPr="00A70D76" w:rsidRDefault="007D2E91" w:rsidP="00931025">
      <w:pPr>
        <w:pStyle w:val="Chapterbodytext"/>
        <w:rPr>
          <w:lang w:eastAsia="en-CA"/>
        </w:rPr>
      </w:pPr>
    </w:p>
    <w:p w14:paraId="5D90B73E" w14:textId="77777777" w:rsidR="007D2E91" w:rsidRPr="00A70D76" w:rsidRDefault="007D2E91" w:rsidP="00931025">
      <w:pPr>
        <w:pStyle w:val="Chapterbodytext"/>
        <w:rPr>
          <w:i/>
          <w:iCs/>
          <w:lang w:eastAsia="en-CA"/>
        </w:rPr>
      </w:pPr>
      <w:r w:rsidRPr="00A70D76">
        <w:rPr>
          <w:i/>
          <w:iCs/>
          <w:lang w:eastAsia="en-CA"/>
        </w:rPr>
        <w:t>COVID-19 pandemic</w:t>
      </w:r>
      <w:r>
        <w:rPr>
          <w:i/>
          <w:iCs/>
          <w:lang w:eastAsia="en-CA"/>
        </w:rPr>
        <w:t xml:space="preserve"> (</w:t>
      </w:r>
      <w:r w:rsidRPr="00B03401">
        <w:rPr>
          <w:i/>
          <w:iCs/>
          <w:lang w:eastAsia="en-CA"/>
        </w:rPr>
        <w:t>as of fall 2020</w:t>
      </w:r>
      <w:r>
        <w:rPr>
          <w:i/>
          <w:iCs/>
          <w:lang w:eastAsia="en-CA"/>
        </w:rPr>
        <w:t>)</w:t>
      </w:r>
    </w:p>
    <w:p w14:paraId="13D2BDB6" w14:textId="77777777" w:rsidR="007D2E91" w:rsidRPr="00A70D76" w:rsidRDefault="007D2E91" w:rsidP="00F372C1">
      <w:pPr>
        <w:pStyle w:val="Chapterbodytext"/>
        <w:rPr>
          <w:lang w:eastAsia="en-CA"/>
        </w:rPr>
      </w:pPr>
    </w:p>
    <w:p w14:paraId="16C4B015" w14:textId="77777777" w:rsidR="007D2E91" w:rsidRPr="00A70D76" w:rsidRDefault="007D2E91" w:rsidP="00F372C1">
      <w:pPr>
        <w:pStyle w:val="Chapterbodytext"/>
        <w:rPr>
          <w:lang w:eastAsia="en-CA"/>
        </w:rPr>
      </w:pPr>
      <w:r w:rsidRPr="00A70D76">
        <w:t xml:space="preserve">The COVID-19 pandemic has caused unprecedented impacts on Canadians and the economy. Health concerns, physical distancing, isolation, and employment layoffs have made it harder for Canadians to pay bills on time, manage their debts and save for unexpected expenses. Add to this a debt-to-income ratio of 177% in 2019 (up from 168% in 2018), making Canadians even more vulnerable. </w:t>
      </w:r>
    </w:p>
    <w:p w14:paraId="12A3DB9D" w14:textId="77777777" w:rsidR="007D2E91" w:rsidRPr="00A70D76" w:rsidRDefault="007D2E91" w:rsidP="00F372C1">
      <w:pPr>
        <w:pStyle w:val="Chapterbodytext"/>
        <w:rPr>
          <w:lang w:eastAsia="en-CA"/>
        </w:rPr>
      </w:pPr>
    </w:p>
    <w:p w14:paraId="332CE28A" w14:textId="77777777" w:rsidR="007D2E91" w:rsidRPr="00A70D76" w:rsidRDefault="007D2E91" w:rsidP="00F372C1">
      <w:pPr>
        <w:pStyle w:val="Chapterbodytext"/>
        <w:rPr>
          <w:lang w:eastAsia="en-CA"/>
        </w:rPr>
      </w:pPr>
      <w:r w:rsidRPr="00B03401">
        <w:rPr>
          <w:lang w:eastAsia="en-CA"/>
        </w:rPr>
        <w:t>Since early March</w:t>
      </w:r>
      <w:r w:rsidRPr="00A70D76">
        <w:rPr>
          <w:lang w:eastAsia="en-CA"/>
        </w:rPr>
        <w:t xml:space="preserve">, polling results have shown that many Canadians have low confidence in their ability to manage their finances in response to the current economic situation. These Canadians could benefit from financial education to strengthen their confidence and make informed financial decisions during challenging times. In particular, information and resources related to saving money (including saving for emergencies), alternatives to debt, and credit and debt options are needed. </w:t>
      </w:r>
    </w:p>
    <w:p w14:paraId="5BFB8D11" w14:textId="77777777" w:rsidR="007D2E91" w:rsidRPr="00A70D76" w:rsidRDefault="007D2E91" w:rsidP="00F372C1">
      <w:pPr>
        <w:pStyle w:val="Chapterbodytext"/>
        <w:rPr>
          <w:lang w:eastAsia="en-CA"/>
        </w:rPr>
      </w:pPr>
    </w:p>
    <w:p w14:paraId="5C5FA336" w14:textId="77777777" w:rsidR="007D2E91" w:rsidRPr="00A70D76" w:rsidRDefault="007D2E91" w:rsidP="00F372C1">
      <w:pPr>
        <w:pStyle w:val="Chapterbodytext"/>
        <w:rPr>
          <w:lang w:eastAsia="en-CA"/>
        </w:rPr>
      </w:pPr>
      <w:r w:rsidRPr="00B03401">
        <w:rPr>
          <w:lang w:eastAsia="en-CA"/>
        </w:rPr>
        <w:t>Findings f</w:t>
      </w:r>
      <w:r w:rsidRPr="00A70D76">
        <w:rPr>
          <w:lang w:eastAsia="en-CA"/>
        </w:rPr>
        <w:t xml:space="preserve">rom the external polls identified working-aged Canadians (aged 18 to 54), low-income households, and those with a low educational attainment (high school diploma or less) as being more at-risk of facing negative financial consequences due to the COVID-19 pandemic. Those aged 25 to 54, in particular families with children and lone parents, are more likely to have greater financial constraints, such as supporting a family and balancing multiple debt payments. Whereas those aged 18 to 24 are entering the work force and would benefit from building good financial habits early. Many in these age groups are also learning to manage their day-to-day finances and debt obligations with a reduced income due to changes to their employment earnings. </w:t>
      </w:r>
    </w:p>
    <w:p w14:paraId="5C0526E2" w14:textId="77777777" w:rsidR="007D2E91" w:rsidRPr="00A70D76" w:rsidRDefault="007D2E91" w:rsidP="00F372C1">
      <w:pPr>
        <w:pStyle w:val="Chapterbodytext"/>
        <w:rPr>
          <w:lang w:eastAsia="en-CA"/>
        </w:rPr>
      </w:pPr>
    </w:p>
    <w:p w14:paraId="4CB184E4" w14:textId="77777777" w:rsidR="007D2E91" w:rsidRPr="00A70D76" w:rsidRDefault="007D2E91" w:rsidP="00F372C1">
      <w:pPr>
        <w:pStyle w:val="Chapterbodytext"/>
        <w:rPr>
          <w:lang w:eastAsia="en-US"/>
        </w:rPr>
      </w:pPr>
      <w:r w:rsidRPr="00A70D76">
        <w:lastRenderedPageBreak/>
        <w:t>These vulnerable groups are feeling anxious about their money. Regaining confidence to manage their finances will be very important to help Canadians strengthen their financial well-being. Financial confidence and feeling in control of the future are strongly related to financial well-being.</w:t>
      </w:r>
    </w:p>
    <w:p w14:paraId="51440208" w14:textId="77777777" w:rsidR="007D2E91" w:rsidRPr="00A70D76" w:rsidRDefault="007D2E91" w:rsidP="00F372C1">
      <w:pPr>
        <w:pStyle w:val="Chapterbodytext"/>
      </w:pPr>
    </w:p>
    <w:p w14:paraId="390ED9A1" w14:textId="77777777" w:rsidR="007D2E91" w:rsidRPr="00A70D76" w:rsidRDefault="007D2E91" w:rsidP="00F372C1">
      <w:pPr>
        <w:pStyle w:val="Chapterbodytext"/>
        <w:rPr>
          <w:i/>
          <w:iCs/>
        </w:rPr>
      </w:pPr>
      <w:r w:rsidRPr="00A70D76">
        <w:rPr>
          <w:i/>
          <w:iCs/>
        </w:rPr>
        <w:t xml:space="preserve">National advertising campaign </w:t>
      </w:r>
    </w:p>
    <w:p w14:paraId="09BFBE79" w14:textId="77777777" w:rsidR="007D2E91" w:rsidRPr="00A70D76" w:rsidRDefault="007D2E91" w:rsidP="00F372C1">
      <w:pPr>
        <w:pStyle w:val="Chapterbodytext"/>
      </w:pPr>
    </w:p>
    <w:p w14:paraId="1BFAD84A" w14:textId="77777777" w:rsidR="007D2E91" w:rsidRPr="00A70D76" w:rsidRDefault="007D2E91" w:rsidP="00F372C1">
      <w:pPr>
        <w:pStyle w:val="Chapterbodytext"/>
        <w:rPr>
          <w:szCs w:val="24"/>
        </w:rPr>
      </w:pPr>
      <w:r w:rsidRPr="00A70D76">
        <w:t>FCAC’s national, multi-media advertising campaign titled “Take charge of your financial future” launched in November 2020</w:t>
      </w:r>
      <w:r>
        <w:t xml:space="preserve"> </w:t>
      </w:r>
      <w:r w:rsidRPr="00B03401">
        <w:t>to coincide with the 10</w:t>
      </w:r>
      <w:r w:rsidRPr="00B03401">
        <w:rPr>
          <w:vertAlign w:val="superscript"/>
        </w:rPr>
        <w:t>th</w:t>
      </w:r>
      <w:r w:rsidRPr="00B03401">
        <w:t xml:space="preserve"> anniversary of Financial Literacy Month</w:t>
      </w:r>
      <w:r>
        <w:t xml:space="preserve"> (November)</w:t>
      </w:r>
      <w:r w:rsidRPr="00A70D76">
        <w:t xml:space="preserve">. The aim of the campaign was to equip Canadians with practical tips and tools to help them make </w:t>
      </w:r>
      <w:r w:rsidRPr="00A70D76">
        <w:rPr>
          <w:szCs w:val="24"/>
        </w:rPr>
        <w:t>informed financial decisions relevant to their circumstances. The goals of the campaign were to:</w:t>
      </w:r>
    </w:p>
    <w:p w14:paraId="0148486F" w14:textId="77777777" w:rsidR="007D2E91" w:rsidRPr="00A70D76" w:rsidRDefault="007D2E91" w:rsidP="00F372C1">
      <w:pPr>
        <w:pStyle w:val="Highl-1"/>
        <w:rPr>
          <w:sz w:val="24"/>
          <w:szCs w:val="24"/>
          <w:lang w:val="en-CA"/>
        </w:rPr>
      </w:pPr>
      <w:r w:rsidRPr="00A70D76">
        <w:rPr>
          <w:sz w:val="24"/>
          <w:szCs w:val="24"/>
          <w:lang w:val="en-CA"/>
        </w:rPr>
        <w:t xml:space="preserve">Raise awareness of the importance of making informed financial decisions during challenging times; </w:t>
      </w:r>
    </w:p>
    <w:p w14:paraId="4D0F6A9E" w14:textId="77777777" w:rsidR="007D2E91" w:rsidRPr="00A70D76" w:rsidRDefault="007D2E91" w:rsidP="00F372C1">
      <w:pPr>
        <w:pStyle w:val="Highl-1"/>
        <w:rPr>
          <w:sz w:val="24"/>
          <w:szCs w:val="24"/>
          <w:lang w:val="en-CA"/>
        </w:rPr>
      </w:pPr>
      <w:r w:rsidRPr="00A70D76">
        <w:rPr>
          <w:sz w:val="24"/>
          <w:szCs w:val="24"/>
          <w:lang w:val="en-CA"/>
        </w:rPr>
        <w:t>Promote FCAC as an authoritative source for financial literacy resources and tools to help strengthen the financial literacy of Canadians;</w:t>
      </w:r>
    </w:p>
    <w:p w14:paraId="637A1440" w14:textId="77777777" w:rsidR="007D2E91" w:rsidRPr="00A70D76" w:rsidRDefault="007D2E91" w:rsidP="00F372C1">
      <w:pPr>
        <w:pStyle w:val="Highl-1"/>
        <w:rPr>
          <w:sz w:val="24"/>
          <w:szCs w:val="24"/>
          <w:lang w:val="en-CA"/>
        </w:rPr>
      </w:pPr>
      <w:r w:rsidRPr="00A70D76">
        <w:rPr>
          <w:sz w:val="24"/>
          <w:szCs w:val="24"/>
          <w:lang w:val="en-CA"/>
        </w:rPr>
        <w:t xml:space="preserve">Raise awareness of Financial Literacy Month and the educational resources and events offered by participating organizations across </w:t>
      </w:r>
      <w:smartTag w:uri="urn:schemas-microsoft-com:office:smarttags" w:element="country-region">
        <w:smartTag w:uri="urn:schemas-microsoft-com:office:smarttags" w:element="place">
          <w:r w:rsidRPr="00A70D76">
            <w:rPr>
              <w:sz w:val="24"/>
              <w:szCs w:val="24"/>
              <w:lang w:val="en-CA"/>
            </w:rPr>
            <w:t>Canada</w:t>
          </w:r>
        </w:smartTag>
      </w:smartTag>
      <w:r w:rsidRPr="00A70D76">
        <w:rPr>
          <w:sz w:val="24"/>
          <w:szCs w:val="24"/>
          <w:lang w:val="en-CA"/>
        </w:rPr>
        <w:t>.</w:t>
      </w:r>
    </w:p>
    <w:p w14:paraId="5D67D349" w14:textId="77777777" w:rsidR="007D2E91" w:rsidRPr="00A70D76" w:rsidRDefault="007D2E91" w:rsidP="00DE0971">
      <w:pPr>
        <w:pStyle w:val="Chapterbodytext"/>
      </w:pPr>
    </w:p>
    <w:p w14:paraId="732170E8" w14:textId="77777777" w:rsidR="007D2E91" w:rsidRPr="00A70D76" w:rsidRDefault="007D2E91" w:rsidP="00BA6187">
      <w:pPr>
        <w:pStyle w:val="Chapterbodytext"/>
        <w:rPr>
          <w:rFonts w:cs="Calibri"/>
          <w:szCs w:val="24"/>
        </w:rPr>
      </w:pPr>
      <w:r w:rsidRPr="00A70D76">
        <w:rPr>
          <w:rFonts w:cs="Calibri"/>
          <w:szCs w:val="24"/>
        </w:rPr>
        <w:t>The campaign’s research objectives included three components:</w:t>
      </w:r>
    </w:p>
    <w:p w14:paraId="64F568DE" w14:textId="77777777" w:rsidR="007D2E91" w:rsidRPr="00A70D76" w:rsidRDefault="007D2E91" w:rsidP="00BA6187">
      <w:pPr>
        <w:pStyle w:val="Chapterbodytext"/>
        <w:rPr>
          <w:rFonts w:cs="Calibri"/>
          <w:szCs w:val="24"/>
        </w:rPr>
      </w:pPr>
    </w:p>
    <w:p w14:paraId="35C4FEC4" w14:textId="77777777" w:rsidR="007D2E91" w:rsidRPr="00A70D76" w:rsidRDefault="007D2E91" w:rsidP="00BA6187">
      <w:pPr>
        <w:pStyle w:val="ListParagraph1"/>
        <w:numPr>
          <w:ilvl w:val="0"/>
          <w:numId w:val="12"/>
        </w:numPr>
        <w:spacing w:after="0" w:line="240" w:lineRule="auto"/>
        <w:contextualSpacing w:val="0"/>
        <w:rPr>
          <w:rFonts w:cs="Calibri"/>
          <w:color w:val="000000"/>
          <w:sz w:val="24"/>
          <w:szCs w:val="24"/>
        </w:rPr>
      </w:pPr>
      <w:r w:rsidRPr="00A70D76">
        <w:rPr>
          <w:rFonts w:cs="Calibri"/>
          <w:color w:val="000000"/>
          <w:sz w:val="24"/>
          <w:szCs w:val="24"/>
        </w:rPr>
        <w:t xml:space="preserve">Pre-testing of creative concepts: The goal was to choose the creative concept that resonated the most with the target audiences and performed the best in terms of meeting the campaign objectives. </w:t>
      </w:r>
    </w:p>
    <w:p w14:paraId="616E712E" w14:textId="77777777" w:rsidR="007D2E91" w:rsidRPr="00A70D76" w:rsidRDefault="007D2E91" w:rsidP="00BA6187">
      <w:pPr>
        <w:rPr>
          <w:rFonts w:ascii="Calibri" w:hAnsi="Calibri" w:cs="Calibri"/>
          <w:color w:val="000000"/>
          <w:lang w:val="en-CA"/>
        </w:rPr>
      </w:pPr>
    </w:p>
    <w:p w14:paraId="64F8D297" w14:textId="58F2028D" w:rsidR="007D2E91" w:rsidRPr="00A70D76" w:rsidRDefault="007D2E91" w:rsidP="00BA6187">
      <w:pPr>
        <w:pStyle w:val="ListParagraph1"/>
        <w:numPr>
          <w:ilvl w:val="0"/>
          <w:numId w:val="12"/>
        </w:numPr>
        <w:spacing w:after="0" w:line="240" w:lineRule="auto"/>
        <w:contextualSpacing w:val="0"/>
        <w:rPr>
          <w:rFonts w:cs="Calibri"/>
          <w:sz w:val="24"/>
          <w:szCs w:val="24"/>
        </w:rPr>
      </w:pPr>
      <w:r w:rsidRPr="00A70D76">
        <w:rPr>
          <w:rFonts w:cs="Calibri"/>
          <w:sz w:val="24"/>
          <w:szCs w:val="24"/>
        </w:rPr>
        <w:t xml:space="preserve">Pre-campaign evaluation using the standardized </w:t>
      </w:r>
      <w:r w:rsidR="00020FE3" w:rsidRPr="00020FE3">
        <w:rPr>
          <w:rFonts w:cs="Calibri"/>
          <w:sz w:val="24"/>
          <w:szCs w:val="24"/>
        </w:rPr>
        <w:t>Advertising Campaign Evaluation Tool</w:t>
      </w:r>
      <w:r w:rsidR="00020FE3">
        <w:rPr>
          <w:rFonts w:cs="Calibri"/>
          <w:sz w:val="24"/>
          <w:szCs w:val="24"/>
        </w:rPr>
        <w:t xml:space="preserve"> (</w:t>
      </w:r>
      <w:r w:rsidRPr="00A70D76">
        <w:rPr>
          <w:rFonts w:cs="Calibri"/>
          <w:sz w:val="24"/>
          <w:szCs w:val="24"/>
        </w:rPr>
        <w:t>ACET</w:t>
      </w:r>
      <w:r w:rsidR="00020FE3">
        <w:rPr>
          <w:rFonts w:cs="Calibri"/>
          <w:sz w:val="24"/>
          <w:szCs w:val="24"/>
        </w:rPr>
        <w:t>)</w:t>
      </w:r>
      <w:r w:rsidRPr="00A70D76">
        <w:rPr>
          <w:rFonts w:cs="Calibri"/>
          <w:sz w:val="24"/>
          <w:szCs w:val="24"/>
        </w:rPr>
        <w:t xml:space="preserve"> baseline online survey: The goal was to assess pre-campaign awareness of the subject matter, including:</w:t>
      </w:r>
    </w:p>
    <w:p w14:paraId="38B3E5BD" w14:textId="77777777" w:rsidR="007D2E91" w:rsidRPr="00344E6C" w:rsidRDefault="007D2E91" w:rsidP="00A70D76">
      <w:pPr>
        <w:pStyle w:val="Highl-1"/>
        <w:rPr>
          <w:sz w:val="24"/>
          <w:szCs w:val="24"/>
        </w:rPr>
      </w:pPr>
      <w:r w:rsidRPr="00344E6C">
        <w:rPr>
          <w:sz w:val="24"/>
          <w:szCs w:val="24"/>
        </w:rPr>
        <w:t xml:space="preserve">Aided and unaided awareness of general Government of Canada advertisements or other advertisements related to the campaign topic </w:t>
      </w:r>
    </w:p>
    <w:p w14:paraId="6881594D" w14:textId="77777777" w:rsidR="007D2E91" w:rsidRPr="00344E6C" w:rsidRDefault="007D2E91" w:rsidP="00A70D76">
      <w:pPr>
        <w:pStyle w:val="Highl-1"/>
        <w:rPr>
          <w:sz w:val="24"/>
          <w:szCs w:val="24"/>
        </w:rPr>
      </w:pPr>
      <w:r w:rsidRPr="00344E6C">
        <w:rPr>
          <w:sz w:val="24"/>
          <w:szCs w:val="24"/>
        </w:rPr>
        <w:t xml:space="preserve">Aided and unaided awareness of the subject matter </w:t>
      </w:r>
    </w:p>
    <w:p w14:paraId="454BD06A" w14:textId="77777777" w:rsidR="007D2E91" w:rsidRPr="00A70D76" w:rsidRDefault="007D2E91" w:rsidP="00BA6187">
      <w:pPr>
        <w:widowControl w:val="0"/>
        <w:autoSpaceDE w:val="0"/>
        <w:autoSpaceDN w:val="0"/>
        <w:adjustRightInd w:val="0"/>
        <w:contextualSpacing/>
        <w:rPr>
          <w:rFonts w:ascii="Calibri" w:hAnsi="Calibri" w:cs="Calibri"/>
          <w:lang w:val="en-CA"/>
        </w:rPr>
      </w:pPr>
    </w:p>
    <w:p w14:paraId="08874C80" w14:textId="77777777" w:rsidR="007D2E91" w:rsidRPr="00A70D76" w:rsidRDefault="007D2E91" w:rsidP="00BA6187">
      <w:pPr>
        <w:pStyle w:val="ListParagraph1"/>
        <w:widowControl w:val="0"/>
        <w:numPr>
          <w:ilvl w:val="0"/>
          <w:numId w:val="12"/>
        </w:numPr>
        <w:autoSpaceDE w:val="0"/>
        <w:autoSpaceDN w:val="0"/>
        <w:adjustRightInd w:val="0"/>
        <w:spacing w:after="0" w:line="240" w:lineRule="auto"/>
        <w:rPr>
          <w:rFonts w:cs="Calibri"/>
          <w:sz w:val="24"/>
          <w:szCs w:val="24"/>
        </w:rPr>
      </w:pPr>
      <w:r w:rsidRPr="00A70D76">
        <w:rPr>
          <w:rFonts w:cs="Calibri"/>
          <w:sz w:val="24"/>
          <w:szCs w:val="24"/>
        </w:rPr>
        <w:t>Post-campaign evaluation using the standardized ACET post-campaign online survey:</w:t>
      </w:r>
      <w:r w:rsidRPr="00A70D76">
        <w:rPr>
          <w:rFonts w:cs="Calibri"/>
          <w:b/>
          <w:bCs/>
          <w:sz w:val="24"/>
          <w:szCs w:val="24"/>
        </w:rPr>
        <w:t xml:space="preserve"> </w:t>
      </w:r>
      <w:r w:rsidRPr="00A70D76">
        <w:rPr>
          <w:rFonts w:cs="Calibri"/>
          <w:sz w:val="24"/>
          <w:szCs w:val="24"/>
        </w:rPr>
        <w:t xml:space="preserve">The goal was to measure post-campaign awareness of the subject matter, including: </w:t>
      </w:r>
    </w:p>
    <w:p w14:paraId="498E83BF" w14:textId="77777777" w:rsidR="007D2E91" w:rsidRPr="00344E6C" w:rsidRDefault="007D2E91" w:rsidP="00A70D76">
      <w:pPr>
        <w:pStyle w:val="Highl-1"/>
        <w:rPr>
          <w:sz w:val="24"/>
          <w:szCs w:val="24"/>
        </w:rPr>
      </w:pPr>
      <w:r w:rsidRPr="00344E6C">
        <w:rPr>
          <w:sz w:val="24"/>
          <w:szCs w:val="24"/>
        </w:rPr>
        <w:t>Aided and unaided awareness of FCAC’s ads and general Government of Canada ads</w:t>
      </w:r>
    </w:p>
    <w:p w14:paraId="7B610788" w14:textId="77777777" w:rsidR="007D2E91" w:rsidRPr="00344E6C" w:rsidRDefault="007D2E91" w:rsidP="00A70D76">
      <w:pPr>
        <w:pStyle w:val="Highl-1"/>
        <w:rPr>
          <w:sz w:val="24"/>
          <w:szCs w:val="24"/>
        </w:rPr>
      </w:pPr>
      <w:r w:rsidRPr="00344E6C">
        <w:rPr>
          <w:sz w:val="24"/>
          <w:szCs w:val="24"/>
        </w:rPr>
        <w:t xml:space="preserve">Recall of key campaign messages </w:t>
      </w:r>
    </w:p>
    <w:p w14:paraId="546AE1BE" w14:textId="77777777" w:rsidR="007D2E91" w:rsidRPr="00344E6C" w:rsidRDefault="007D2E91" w:rsidP="00A70D76">
      <w:pPr>
        <w:pStyle w:val="Highl-1"/>
        <w:rPr>
          <w:sz w:val="24"/>
          <w:szCs w:val="24"/>
        </w:rPr>
      </w:pPr>
      <w:r w:rsidRPr="00344E6C">
        <w:rPr>
          <w:sz w:val="24"/>
          <w:szCs w:val="24"/>
        </w:rPr>
        <w:t xml:space="preserve">Whether the ads were attention grabbing, relevant, difficult to follow, about an important topic, and provided new information </w:t>
      </w:r>
    </w:p>
    <w:p w14:paraId="2363213F" w14:textId="77777777" w:rsidR="007D2E91" w:rsidRPr="00344E6C" w:rsidRDefault="007D2E91" w:rsidP="00A70D76">
      <w:pPr>
        <w:pStyle w:val="Highl-1"/>
        <w:rPr>
          <w:sz w:val="24"/>
          <w:szCs w:val="24"/>
        </w:rPr>
      </w:pPr>
      <w:r w:rsidRPr="00344E6C">
        <w:rPr>
          <w:sz w:val="24"/>
          <w:szCs w:val="24"/>
        </w:rPr>
        <w:t>Whether any action was taken as a result of seeing or hearing FCAC’s ads</w:t>
      </w:r>
    </w:p>
    <w:p w14:paraId="2CFF44F4" w14:textId="77777777" w:rsidR="007D2E91" w:rsidRPr="00344E6C" w:rsidRDefault="007D2E91" w:rsidP="00A70D76">
      <w:pPr>
        <w:pStyle w:val="Highl-1"/>
        <w:rPr>
          <w:sz w:val="24"/>
          <w:szCs w:val="24"/>
        </w:rPr>
      </w:pPr>
      <w:r w:rsidRPr="00344E6C">
        <w:rPr>
          <w:sz w:val="24"/>
          <w:szCs w:val="24"/>
        </w:rPr>
        <w:lastRenderedPageBreak/>
        <w:t>Awareness of who was responsible for creating the ads</w:t>
      </w:r>
    </w:p>
    <w:p w14:paraId="0F1DFA9D" w14:textId="77777777" w:rsidR="00344E6C" w:rsidRDefault="00344E6C" w:rsidP="00DE0971">
      <w:pPr>
        <w:pStyle w:val="Chapterbodytext"/>
      </w:pPr>
    </w:p>
    <w:p w14:paraId="58052107" w14:textId="2CB74D52" w:rsidR="007D2E91" w:rsidRPr="00A70D76" w:rsidRDefault="007D2E91" w:rsidP="00DE0971">
      <w:pPr>
        <w:pStyle w:val="Chapterbodytext"/>
      </w:pPr>
      <w:r w:rsidRPr="00A70D76">
        <w:t xml:space="preserve">The data from this research was used to select the creative concept and evaluate the effectiveness of the campaign in reaching the campaign goals. </w:t>
      </w:r>
    </w:p>
    <w:p w14:paraId="57D0E1F5" w14:textId="77777777" w:rsidR="007D2E91" w:rsidRPr="00A70D76" w:rsidRDefault="007D2E91" w:rsidP="00DE0971">
      <w:pPr>
        <w:pStyle w:val="Chapterbodytext"/>
      </w:pPr>
    </w:p>
    <w:p w14:paraId="03795ABC" w14:textId="77777777" w:rsidR="007D2E91" w:rsidRPr="00A70D76" w:rsidRDefault="007D2E91" w:rsidP="002F2741">
      <w:pPr>
        <w:pStyle w:val="Heading4"/>
        <w:rPr>
          <w:lang w:val="en-CA"/>
        </w:rPr>
      </w:pPr>
      <w:bookmarkStart w:id="8" w:name="_Toc65495861"/>
      <w:r w:rsidRPr="00A70D76">
        <w:rPr>
          <w:lang w:val="en-CA"/>
        </w:rPr>
        <w:t>Methodology</w:t>
      </w:r>
      <w:bookmarkEnd w:id="8"/>
    </w:p>
    <w:p w14:paraId="619A92E5" w14:textId="77777777" w:rsidR="007D2E91" w:rsidRPr="00A70D76" w:rsidRDefault="007D2E91" w:rsidP="00DE0971">
      <w:pPr>
        <w:pStyle w:val="Chapterbodytext"/>
      </w:pPr>
    </w:p>
    <w:p w14:paraId="020248AA" w14:textId="77777777" w:rsidR="007D2E91" w:rsidRPr="00A70D76" w:rsidRDefault="007D2E91" w:rsidP="00045D13">
      <w:pPr>
        <w:pStyle w:val="Heading5"/>
        <w:rPr>
          <w:b w:val="0"/>
          <w:bCs/>
          <w:i w:val="0"/>
          <w:iCs/>
          <w:lang w:val="en-CA"/>
        </w:rPr>
      </w:pPr>
      <w:bookmarkStart w:id="9" w:name="_Hlk63757625"/>
      <w:r w:rsidRPr="00A70D76">
        <w:rPr>
          <w:lang w:val="en-CA"/>
        </w:rPr>
        <w:t>Concept Testing</w:t>
      </w:r>
    </w:p>
    <w:p w14:paraId="2CAA63B2" w14:textId="77777777" w:rsidR="007D2E91" w:rsidRPr="00A70D76" w:rsidRDefault="007D2E91" w:rsidP="00F372C1">
      <w:pPr>
        <w:pStyle w:val="Chapterbodytext"/>
      </w:pPr>
    </w:p>
    <w:p w14:paraId="1FBF7783" w14:textId="77777777" w:rsidR="007D2E91" w:rsidRPr="00A70D76" w:rsidRDefault="007D2E91" w:rsidP="00F372C1">
      <w:pPr>
        <w:pStyle w:val="Chapterbodytext"/>
      </w:pPr>
      <w:r w:rsidRPr="00A70D76">
        <w:t>Three concepts were each tested in eight online focus groups, which included participants from five different regions across the country. Participants logged onto a Zoom video meeting to generally discuss their comfort with financial decisions and their sources of information for financial decision-making, then viewed the 30-second and 15-second video scripts of the three concepts. They were asked to react to each concept in terms of overall impressions, clarity of message and appropriateness of the approach in encouraging Canadians to visit FCAC’s online resource. They were also asked to provide a series of ratings for each concept along similar dimensions. The average length of each group was 90 minutes.</w:t>
      </w:r>
    </w:p>
    <w:p w14:paraId="0F58B0E3" w14:textId="77777777" w:rsidR="007D2E91" w:rsidRPr="00A70D76" w:rsidRDefault="007D2E91" w:rsidP="00F372C1">
      <w:pPr>
        <w:pStyle w:val="Chapterbodytext"/>
      </w:pPr>
    </w:p>
    <w:p w14:paraId="5886B534" w14:textId="77777777" w:rsidR="007D2E91" w:rsidRPr="00A70D76" w:rsidRDefault="007D2E91" w:rsidP="00F372C1">
      <w:pPr>
        <w:pStyle w:val="Chapterbodytext"/>
      </w:pPr>
      <w:r w:rsidRPr="00A70D76">
        <w:t xml:space="preserve">Participants were recruited to represent a region, rather than one specific city, which was a cost-effective means of obtaining feedback. One or two groups were held in each region (Atlantic (1), </w:t>
      </w:r>
      <w:smartTag w:uri="urn:schemas-microsoft-com:office:smarttags" w:element="State">
        <w:r w:rsidRPr="00A70D76">
          <w:t>Ontario</w:t>
        </w:r>
      </w:smartTag>
      <w:r w:rsidRPr="00A70D76">
        <w:t xml:space="preserve"> (2), </w:t>
      </w:r>
      <w:smartTag w:uri="urn:schemas-microsoft-com:office:smarttags" w:element="State">
        <w:r w:rsidRPr="00A70D76">
          <w:t>Quebec</w:t>
        </w:r>
      </w:smartTag>
      <w:r w:rsidRPr="00A70D76">
        <w:t xml:space="preserve"> (2), Prairies including </w:t>
      </w:r>
      <w:smartTag w:uri="urn:schemas-microsoft-com:office:smarttags" w:element="State">
        <w:r w:rsidRPr="00A70D76">
          <w:t>Alberta</w:t>
        </w:r>
      </w:smartTag>
      <w:r w:rsidRPr="00A70D76">
        <w:t xml:space="preserve">, </w:t>
      </w:r>
      <w:smartTag w:uri="urn:schemas-microsoft-com:office:smarttags" w:element="State">
        <w:r w:rsidRPr="00A70D76">
          <w:t>Manitoba</w:t>
        </w:r>
      </w:smartTag>
      <w:r w:rsidRPr="00A70D76">
        <w:t xml:space="preserve"> and </w:t>
      </w:r>
      <w:smartTag w:uri="urn:schemas-microsoft-com:office:smarttags" w:element="place">
        <w:smartTag w:uri="urn:schemas-microsoft-com:office:smarttags" w:element="State">
          <w:r w:rsidRPr="00A70D76">
            <w:t>Saskatchewan</w:t>
          </w:r>
        </w:smartTag>
      </w:smartTag>
      <w:r w:rsidRPr="00A70D76">
        <w:t xml:space="preserve"> (2) and BC (1)). Between six and seven participants were recruited to attend each discussion, </w:t>
      </w:r>
      <w:r w:rsidRPr="00A70D76">
        <w:rPr>
          <w:bCs/>
          <w:szCs w:val="22"/>
        </w:rPr>
        <w:t xml:space="preserve">using the </w:t>
      </w:r>
      <w:proofErr w:type="spellStart"/>
      <w:r w:rsidRPr="00A70D76">
        <w:rPr>
          <w:bCs/>
          <w:szCs w:val="22"/>
        </w:rPr>
        <w:t>Prob</w:t>
      </w:r>
      <w:r w:rsidRPr="00A70D76">
        <w:rPr>
          <w:bCs/>
          <w:i/>
          <w:iCs/>
          <w:szCs w:val="22"/>
        </w:rPr>
        <w:t>it</w:t>
      </w:r>
      <w:proofErr w:type="spellEnd"/>
      <w:r w:rsidRPr="00A70D76">
        <w:rPr>
          <w:bCs/>
          <w:szCs w:val="22"/>
        </w:rPr>
        <w:t xml:space="preserve"> online panel, targeting Canadians 18 or older, keeping in mind a mix of participants in terms of gender, age, socioeconomic status and parents vs. non-parents (recruitment screener is provided in </w:t>
      </w:r>
      <w:r w:rsidRPr="00F50346">
        <w:rPr>
          <w:bCs/>
          <w:szCs w:val="22"/>
        </w:rPr>
        <w:t>Appendix B).</w:t>
      </w:r>
      <w:r w:rsidRPr="00A70D76">
        <w:rPr>
          <w:bCs/>
          <w:szCs w:val="22"/>
        </w:rPr>
        <w:t xml:space="preserve"> </w:t>
      </w:r>
      <w:r w:rsidRPr="00A70D76">
        <w:t>In total, 43 individuals participated in the concept testing discussions, of the 48 recruited (see details in following table). Discussions occurred between September 23 and 30, 2020.</w:t>
      </w:r>
    </w:p>
    <w:p w14:paraId="42E26355" w14:textId="77777777" w:rsidR="007D2E91" w:rsidRPr="00A70D76" w:rsidRDefault="007D2E91" w:rsidP="00F372C1">
      <w:pPr>
        <w:pStyle w:val="Chapterbodytext"/>
      </w:pPr>
    </w:p>
    <w:p w14:paraId="02098CBF" w14:textId="77777777" w:rsidR="007D2E91" w:rsidRPr="00A70D76" w:rsidRDefault="007D2E91" w:rsidP="00F372C1">
      <w:pPr>
        <w:pStyle w:val="Highl-3"/>
        <w:rPr>
          <w:lang w:val="en-CA"/>
        </w:rPr>
      </w:pPr>
      <w:r w:rsidRPr="00A70D76">
        <w:rPr>
          <w:lang w:val="en-CA"/>
        </w:rPr>
        <w:t>Table 1: Number of Participants per Region –</w:t>
      </w:r>
      <w:r w:rsidRPr="00A70D76">
        <w:rPr>
          <w:lang w:val="en-CA"/>
        </w:rPr>
        <w:br/>
        <w:t>Concept Testing Discussions</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76"/>
        <w:gridCol w:w="1984"/>
        <w:gridCol w:w="2268"/>
        <w:gridCol w:w="2414"/>
      </w:tblGrid>
      <w:tr w:rsidR="007D2E91" w:rsidRPr="00A70D76" w14:paraId="6096DEFF" w14:textId="77777777" w:rsidTr="00F372C1">
        <w:trPr>
          <w:jc w:val="center"/>
        </w:trPr>
        <w:tc>
          <w:tcPr>
            <w:tcW w:w="1776" w:type="dxa"/>
            <w:tcBorders>
              <w:top w:val="single" w:sz="18" w:space="0" w:color="auto"/>
              <w:left w:val="nil"/>
              <w:bottom w:val="single" w:sz="18" w:space="0" w:color="auto"/>
            </w:tcBorders>
            <w:shd w:val="clear" w:color="auto" w:fill="D9D9D9"/>
          </w:tcPr>
          <w:p w14:paraId="43693F32" w14:textId="77777777" w:rsidR="007D2E91" w:rsidRPr="00A70D76" w:rsidRDefault="007D2E91" w:rsidP="00F372C1">
            <w:pPr>
              <w:pStyle w:val="Tableheader"/>
              <w:rPr>
                <w:b/>
                <w:bCs w:val="0"/>
              </w:rPr>
            </w:pPr>
            <w:r w:rsidRPr="00A70D76">
              <w:rPr>
                <w:b/>
                <w:bCs w:val="0"/>
              </w:rPr>
              <w:t>Region</w:t>
            </w:r>
          </w:p>
        </w:tc>
        <w:tc>
          <w:tcPr>
            <w:tcW w:w="1984" w:type="dxa"/>
            <w:tcBorders>
              <w:top w:val="single" w:sz="18" w:space="0" w:color="auto"/>
              <w:bottom w:val="single" w:sz="18" w:space="0" w:color="auto"/>
            </w:tcBorders>
            <w:shd w:val="clear" w:color="auto" w:fill="D9D9D9"/>
          </w:tcPr>
          <w:p w14:paraId="37AA49C4" w14:textId="77777777" w:rsidR="007D2E91" w:rsidRPr="00A70D76" w:rsidRDefault="007D2E91" w:rsidP="00F372C1">
            <w:pPr>
              <w:pStyle w:val="Tableheader"/>
              <w:jc w:val="center"/>
              <w:rPr>
                <w:b/>
                <w:bCs w:val="0"/>
              </w:rPr>
            </w:pPr>
            <w:r w:rsidRPr="00A70D76">
              <w:rPr>
                <w:b/>
                <w:bCs w:val="0"/>
              </w:rPr>
              <w:t># of Groups</w:t>
            </w:r>
          </w:p>
        </w:tc>
        <w:tc>
          <w:tcPr>
            <w:tcW w:w="2268" w:type="dxa"/>
            <w:tcBorders>
              <w:top w:val="single" w:sz="18" w:space="0" w:color="auto"/>
              <w:bottom w:val="single" w:sz="18" w:space="0" w:color="auto"/>
            </w:tcBorders>
            <w:shd w:val="clear" w:color="auto" w:fill="D9D9D9"/>
          </w:tcPr>
          <w:p w14:paraId="1ADCC490" w14:textId="77777777" w:rsidR="007D2E91" w:rsidRPr="00A70D76" w:rsidRDefault="007D2E91" w:rsidP="00F372C1">
            <w:pPr>
              <w:pStyle w:val="Tableheader"/>
              <w:jc w:val="center"/>
              <w:rPr>
                <w:b/>
                <w:bCs w:val="0"/>
              </w:rPr>
            </w:pPr>
            <w:r w:rsidRPr="00A70D76">
              <w:rPr>
                <w:b/>
                <w:bCs w:val="0"/>
              </w:rPr>
              <w:t>Total # of Recruits</w:t>
            </w:r>
          </w:p>
        </w:tc>
        <w:tc>
          <w:tcPr>
            <w:tcW w:w="2414" w:type="dxa"/>
            <w:tcBorders>
              <w:top w:val="single" w:sz="18" w:space="0" w:color="auto"/>
              <w:bottom w:val="single" w:sz="18" w:space="0" w:color="auto"/>
              <w:right w:val="nil"/>
            </w:tcBorders>
            <w:shd w:val="clear" w:color="auto" w:fill="D9D9D9"/>
          </w:tcPr>
          <w:p w14:paraId="226D926B" w14:textId="77777777" w:rsidR="007D2E91" w:rsidRPr="00A70D76" w:rsidRDefault="007D2E91" w:rsidP="00F372C1">
            <w:pPr>
              <w:pStyle w:val="Tableheader"/>
              <w:jc w:val="center"/>
              <w:rPr>
                <w:b/>
                <w:bCs w:val="0"/>
              </w:rPr>
            </w:pPr>
            <w:r w:rsidRPr="00A70D76">
              <w:rPr>
                <w:b/>
                <w:bCs w:val="0"/>
              </w:rPr>
              <w:t>Total # of Participants</w:t>
            </w:r>
          </w:p>
        </w:tc>
      </w:tr>
      <w:tr w:rsidR="007D2E91" w:rsidRPr="00A70D76" w14:paraId="7787CD7C" w14:textId="77777777" w:rsidTr="00F372C1">
        <w:trPr>
          <w:jc w:val="center"/>
        </w:trPr>
        <w:tc>
          <w:tcPr>
            <w:tcW w:w="1776" w:type="dxa"/>
            <w:tcBorders>
              <w:top w:val="single" w:sz="18" w:space="0" w:color="auto"/>
              <w:left w:val="nil"/>
            </w:tcBorders>
          </w:tcPr>
          <w:p w14:paraId="16F5CB75" w14:textId="77777777" w:rsidR="007D2E91" w:rsidRPr="00A70D76" w:rsidRDefault="007D2E91" w:rsidP="00F372C1">
            <w:pPr>
              <w:pStyle w:val="Tableheader"/>
            </w:pPr>
            <w:r w:rsidRPr="00A70D76">
              <w:t xml:space="preserve">Atlantic </w:t>
            </w:r>
          </w:p>
        </w:tc>
        <w:tc>
          <w:tcPr>
            <w:tcW w:w="1984" w:type="dxa"/>
            <w:tcBorders>
              <w:top w:val="single" w:sz="18" w:space="0" w:color="auto"/>
            </w:tcBorders>
          </w:tcPr>
          <w:p w14:paraId="6E8B13C7" w14:textId="77777777" w:rsidR="007D2E91" w:rsidRPr="00A70D76" w:rsidRDefault="007D2E91" w:rsidP="00F372C1">
            <w:pPr>
              <w:pStyle w:val="Table-text"/>
            </w:pPr>
            <w:r w:rsidRPr="00A70D76">
              <w:t>1</w:t>
            </w:r>
          </w:p>
        </w:tc>
        <w:tc>
          <w:tcPr>
            <w:tcW w:w="2268" w:type="dxa"/>
            <w:tcBorders>
              <w:top w:val="single" w:sz="18" w:space="0" w:color="auto"/>
            </w:tcBorders>
          </w:tcPr>
          <w:p w14:paraId="6882B60C" w14:textId="77777777" w:rsidR="007D2E91" w:rsidRPr="00A70D76" w:rsidRDefault="007D2E91" w:rsidP="00F372C1">
            <w:pPr>
              <w:pStyle w:val="Table-text"/>
            </w:pPr>
            <w:r w:rsidRPr="00A70D76">
              <w:t>6</w:t>
            </w:r>
          </w:p>
        </w:tc>
        <w:tc>
          <w:tcPr>
            <w:tcW w:w="2414" w:type="dxa"/>
            <w:tcBorders>
              <w:top w:val="single" w:sz="18" w:space="0" w:color="auto"/>
              <w:right w:val="nil"/>
            </w:tcBorders>
          </w:tcPr>
          <w:p w14:paraId="798ED4D4" w14:textId="77777777" w:rsidR="007D2E91" w:rsidRPr="00A70D76" w:rsidRDefault="007D2E91" w:rsidP="00F372C1">
            <w:pPr>
              <w:pStyle w:val="Table-text"/>
            </w:pPr>
            <w:r w:rsidRPr="00A70D76">
              <w:t>6</w:t>
            </w:r>
          </w:p>
        </w:tc>
      </w:tr>
      <w:tr w:rsidR="007D2E91" w:rsidRPr="00A70D76" w14:paraId="5BF793CB" w14:textId="77777777" w:rsidTr="00F372C1">
        <w:trPr>
          <w:jc w:val="center"/>
        </w:trPr>
        <w:tc>
          <w:tcPr>
            <w:tcW w:w="1776" w:type="dxa"/>
            <w:tcBorders>
              <w:left w:val="nil"/>
            </w:tcBorders>
          </w:tcPr>
          <w:p w14:paraId="2FE313A5" w14:textId="77777777" w:rsidR="007D2E91" w:rsidRPr="00A70D76" w:rsidRDefault="007D2E91" w:rsidP="00F372C1">
            <w:pPr>
              <w:pStyle w:val="Tableheader"/>
            </w:pPr>
            <w:smartTag w:uri="urn:schemas-microsoft-com:office:smarttags" w:element="place">
              <w:smartTag w:uri="urn:schemas-microsoft-com:office:smarttags" w:element="State">
                <w:r w:rsidRPr="00A70D76">
                  <w:t>Ontario</w:t>
                </w:r>
              </w:smartTag>
            </w:smartTag>
            <w:r w:rsidRPr="00A70D76">
              <w:t xml:space="preserve"> </w:t>
            </w:r>
          </w:p>
        </w:tc>
        <w:tc>
          <w:tcPr>
            <w:tcW w:w="1984" w:type="dxa"/>
          </w:tcPr>
          <w:p w14:paraId="357575B0" w14:textId="77777777" w:rsidR="007D2E91" w:rsidRPr="00A70D76" w:rsidRDefault="007D2E91" w:rsidP="00F372C1">
            <w:pPr>
              <w:pStyle w:val="Table-text"/>
            </w:pPr>
            <w:r w:rsidRPr="00A70D76">
              <w:t>2</w:t>
            </w:r>
          </w:p>
        </w:tc>
        <w:tc>
          <w:tcPr>
            <w:tcW w:w="2268" w:type="dxa"/>
          </w:tcPr>
          <w:p w14:paraId="7630A51F" w14:textId="77777777" w:rsidR="007D2E91" w:rsidRPr="00A70D76" w:rsidRDefault="007D2E91" w:rsidP="00F372C1">
            <w:pPr>
              <w:pStyle w:val="Table-text"/>
            </w:pPr>
            <w:r w:rsidRPr="00A70D76">
              <w:t>13</w:t>
            </w:r>
          </w:p>
        </w:tc>
        <w:tc>
          <w:tcPr>
            <w:tcW w:w="2414" w:type="dxa"/>
            <w:tcBorders>
              <w:right w:val="nil"/>
            </w:tcBorders>
          </w:tcPr>
          <w:p w14:paraId="433B7B57" w14:textId="77777777" w:rsidR="007D2E91" w:rsidRPr="00A70D76" w:rsidRDefault="007D2E91" w:rsidP="00F372C1">
            <w:pPr>
              <w:pStyle w:val="Table-text"/>
            </w:pPr>
            <w:r w:rsidRPr="00A70D76">
              <w:t>12</w:t>
            </w:r>
          </w:p>
        </w:tc>
      </w:tr>
      <w:tr w:rsidR="007D2E91" w:rsidRPr="00A70D76" w14:paraId="63C6F4DC" w14:textId="77777777" w:rsidTr="00F372C1">
        <w:trPr>
          <w:jc w:val="center"/>
        </w:trPr>
        <w:tc>
          <w:tcPr>
            <w:tcW w:w="1776" w:type="dxa"/>
            <w:tcBorders>
              <w:left w:val="nil"/>
            </w:tcBorders>
          </w:tcPr>
          <w:p w14:paraId="43EDAEC2" w14:textId="77777777" w:rsidR="007D2E91" w:rsidRPr="00A70D76" w:rsidRDefault="007D2E91" w:rsidP="00F372C1">
            <w:pPr>
              <w:pStyle w:val="Tableheader"/>
            </w:pPr>
            <w:smartTag w:uri="urn:schemas-microsoft-com:office:smarttags" w:element="place">
              <w:smartTag w:uri="urn:schemas-microsoft-com:office:smarttags" w:element="State">
                <w:r w:rsidRPr="00A70D76">
                  <w:t>Quebec</w:t>
                </w:r>
              </w:smartTag>
            </w:smartTag>
            <w:r w:rsidRPr="00A70D76">
              <w:t xml:space="preserve"> </w:t>
            </w:r>
          </w:p>
        </w:tc>
        <w:tc>
          <w:tcPr>
            <w:tcW w:w="1984" w:type="dxa"/>
          </w:tcPr>
          <w:p w14:paraId="1056246B" w14:textId="77777777" w:rsidR="007D2E91" w:rsidRPr="00A70D76" w:rsidRDefault="007D2E91" w:rsidP="00F372C1">
            <w:pPr>
              <w:pStyle w:val="Table-text"/>
            </w:pPr>
            <w:r w:rsidRPr="00A70D76">
              <w:t>2</w:t>
            </w:r>
          </w:p>
        </w:tc>
        <w:tc>
          <w:tcPr>
            <w:tcW w:w="2268" w:type="dxa"/>
          </w:tcPr>
          <w:p w14:paraId="53BFCB7A" w14:textId="77777777" w:rsidR="007D2E91" w:rsidRPr="00A70D76" w:rsidRDefault="007D2E91" w:rsidP="00F372C1">
            <w:pPr>
              <w:pStyle w:val="Table-text"/>
            </w:pPr>
            <w:r w:rsidRPr="00A70D76">
              <w:t>11</w:t>
            </w:r>
          </w:p>
        </w:tc>
        <w:tc>
          <w:tcPr>
            <w:tcW w:w="2414" w:type="dxa"/>
            <w:tcBorders>
              <w:right w:val="nil"/>
            </w:tcBorders>
          </w:tcPr>
          <w:p w14:paraId="7FEDE068" w14:textId="77777777" w:rsidR="007D2E91" w:rsidRPr="00A70D76" w:rsidRDefault="007D2E91" w:rsidP="00F372C1">
            <w:pPr>
              <w:pStyle w:val="Table-text"/>
            </w:pPr>
            <w:r w:rsidRPr="00A70D76">
              <w:t>8</w:t>
            </w:r>
          </w:p>
        </w:tc>
      </w:tr>
      <w:tr w:rsidR="007D2E91" w:rsidRPr="00A70D76" w14:paraId="487CD3B4" w14:textId="77777777" w:rsidTr="00F372C1">
        <w:trPr>
          <w:jc w:val="center"/>
        </w:trPr>
        <w:tc>
          <w:tcPr>
            <w:tcW w:w="1776" w:type="dxa"/>
            <w:tcBorders>
              <w:left w:val="nil"/>
            </w:tcBorders>
          </w:tcPr>
          <w:p w14:paraId="62AC7828" w14:textId="77777777" w:rsidR="007D2E91" w:rsidRPr="00A70D76" w:rsidRDefault="007D2E91" w:rsidP="00F372C1">
            <w:pPr>
              <w:pStyle w:val="Tableheader"/>
            </w:pPr>
            <w:r w:rsidRPr="00A70D76">
              <w:t xml:space="preserve">Prairies </w:t>
            </w:r>
          </w:p>
        </w:tc>
        <w:tc>
          <w:tcPr>
            <w:tcW w:w="1984" w:type="dxa"/>
          </w:tcPr>
          <w:p w14:paraId="0D8A8760" w14:textId="77777777" w:rsidR="007D2E91" w:rsidRPr="00A70D76" w:rsidRDefault="007D2E91" w:rsidP="00F372C1">
            <w:pPr>
              <w:pStyle w:val="Table-text"/>
            </w:pPr>
            <w:r w:rsidRPr="00A70D76">
              <w:t>2</w:t>
            </w:r>
          </w:p>
        </w:tc>
        <w:tc>
          <w:tcPr>
            <w:tcW w:w="2268" w:type="dxa"/>
          </w:tcPr>
          <w:p w14:paraId="1678367C" w14:textId="77777777" w:rsidR="007D2E91" w:rsidRPr="00A70D76" w:rsidRDefault="007D2E91" w:rsidP="00F372C1">
            <w:pPr>
              <w:pStyle w:val="Table-text"/>
            </w:pPr>
            <w:r w:rsidRPr="00A70D76">
              <w:t>12</w:t>
            </w:r>
          </w:p>
        </w:tc>
        <w:tc>
          <w:tcPr>
            <w:tcW w:w="2414" w:type="dxa"/>
            <w:tcBorders>
              <w:right w:val="nil"/>
            </w:tcBorders>
          </w:tcPr>
          <w:p w14:paraId="1CCEE6E6" w14:textId="77777777" w:rsidR="007D2E91" w:rsidRPr="00A70D76" w:rsidRDefault="007D2E91" w:rsidP="00F372C1">
            <w:pPr>
              <w:pStyle w:val="Table-text"/>
            </w:pPr>
            <w:r w:rsidRPr="00A70D76">
              <w:t>12</w:t>
            </w:r>
          </w:p>
        </w:tc>
      </w:tr>
      <w:tr w:rsidR="007D2E91" w:rsidRPr="00A70D76" w14:paraId="78A095FE" w14:textId="77777777" w:rsidTr="00F372C1">
        <w:trPr>
          <w:jc w:val="center"/>
        </w:trPr>
        <w:tc>
          <w:tcPr>
            <w:tcW w:w="1776" w:type="dxa"/>
            <w:tcBorders>
              <w:left w:val="nil"/>
              <w:bottom w:val="single" w:sz="18" w:space="0" w:color="auto"/>
            </w:tcBorders>
          </w:tcPr>
          <w:p w14:paraId="77D28B89" w14:textId="77777777" w:rsidR="007D2E91" w:rsidRPr="00A70D76" w:rsidRDefault="007D2E91" w:rsidP="00F372C1">
            <w:pPr>
              <w:pStyle w:val="Tableheader"/>
            </w:pPr>
            <w:r w:rsidRPr="00A70D76">
              <w:t>BC</w:t>
            </w:r>
          </w:p>
        </w:tc>
        <w:tc>
          <w:tcPr>
            <w:tcW w:w="1984" w:type="dxa"/>
            <w:tcBorders>
              <w:bottom w:val="single" w:sz="18" w:space="0" w:color="auto"/>
            </w:tcBorders>
          </w:tcPr>
          <w:p w14:paraId="633FFD3B" w14:textId="77777777" w:rsidR="007D2E91" w:rsidRPr="00A70D76" w:rsidRDefault="007D2E91" w:rsidP="00F372C1">
            <w:pPr>
              <w:pStyle w:val="Table-text"/>
            </w:pPr>
            <w:r w:rsidRPr="00A70D76">
              <w:t>1</w:t>
            </w:r>
          </w:p>
        </w:tc>
        <w:tc>
          <w:tcPr>
            <w:tcW w:w="2268" w:type="dxa"/>
            <w:tcBorders>
              <w:bottom w:val="single" w:sz="18" w:space="0" w:color="auto"/>
            </w:tcBorders>
          </w:tcPr>
          <w:p w14:paraId="28E2A105" w14:textId="77777777" w:rsidR="007D2E91" w:rsidRPr="00A70D76" w:rsidRDefault="007D2E91" w:rsidP="00F372C1">
            <w:pPr>
              <w:pStyle w:val="Table-text"/>
            </w:pPr>
            <w:r w:rsidRPr="00A70D76">
              <w:t>6</w:t>
            </w:r>
          </w:p>
        </w:tc>
        <w:tc>
          <w:tcPr>
            <w:tcW w:w="2414" w:type="dxa"/>
            <w:tcBorders>
              <w:bottom w:val="single" w:sz="18" w:space="0" w:color="auto"/>
              <w:right w:val="nil"/>
            </w:tcBorders>
          </w:tcPr>
          <w:p w14:paraId="1947F577" w14:textId="77777777" w:rsidR="007D2E91" w:rsidRPr="00A70D76" w:rsidRDefault="007D2E91" w:rsidP="00F372C1">
            <w:pPr>
              <w:pStyle w:val="Table-text"/>
            </w:pPr>
            <w:r w:rsidRPr="00A70D76">
              <w:t>5</w:t>
            </w:r>
          </w:p>
        </w:tc>
      </w:tr>
    </w:tbl>
    <w:p w14:paraId="43A72137" w14:textId="77777777" w:rsidR="007D2E91" w:rsidRPr="00A70D76" w:rsidRDefault="007D2E91" w:rsidP="00F372C1">
      <w:pPr>
        <w:pStyle w:val="Chapterbodytext"/>
      </w:pPr>
    </w:p>
    <w:p w14:paraId="7DB22334" w14:textId="77777777" w:rsidR="007D2E91" w:rsidRPr="00A70D76" w:rsidRDefault="007D2E91" w:rsidP="00F372C1">
      <w:pPr>
        <w:pStyle w:val="Chapterbodytext"/>
      </w:pPr>
      <w:r w:rsidRPr="00A70D76">
        <w:t xml:space="preserve">Focus group guides (provided in </w:t>
      </w:r>
      <w:r w:rsidRPr="00F50346">
        <w:t>Appendix C) were</w:t>
      </w:r>
      <w:r w:rsidRPr="00A70D76">
        <w:t xml:space="preserve"> developed by EKOS in consultation with FCAC, along with a rating sheet used to rate each concept and an overall rating and ranking of the top concepts to quantify the results and obtain an initial reaction from each participant prior to discussion. Six of the eight groups were conducted in English, while the two groups held with residents of Quebec were conducted in French. Each focus group took roughly 90 minutes to conduct. Participants received an incentive of $100 for their participation. Video recordings, researchers’ notes and observations from the focus groups formed the basis for analysis and reporting of results.</w:t>
      </w:r>
    </w:p>
    <w:bookmarkEnd w:id="9"/>
    <w:p w14:paraId="35FD7522" w14:textId="77777777" w:rsidR="007D2E91" w:rsidRPr="00A70D76" w:rsidRDefault="007D2E91">
      <w:pPr>
        <w:rPr>
          <w:rFonts w:ascii="Calibri" w:hAnsi="Calibri"/>
          <w:szCs w:val="20"/>
          <w:lang w:val="en-CA"/>
        </w:rPr>
      </w:pPr>
    </w:p>
    <w:p w14:paraId="57835AEA" w14:textId="77777777" w:rsidR="007D2E91" w:rsidRPr="00A70D76" w:rsidRDefault="007D2E91" w:rsidP="00045D13">
      <w:pPr>
        <w:pStyle w:val="Heading5"/>
        <w:rPr>
          <w:b w:val="0"/>
          <w:bCs/>
          <w:i w:val="0"/>
          <w:iCs/>
          <w:lang w:val="en-CA"/>
        </w:rPr>
      </w:pPr>
      <w:r w:rsidRPr="00A70D76">
        <w:rPr>
          <w:lang w:val="en-CA"/>
        </w:rPr>
        <w:t xml:space="preserve">Pre- and Post-Campaign ACET </w:t>
      </w:r>
    </w:p>
    <w:p w14:paraId="65439A5F" w14:textId="77777777" w:rsidR="007D2E91" w:rsidRPr="00A70D76" w:rsidRDefault="007D2E91" w:rsidP="00F372C1">
      <w:pPr>
        <w:pStyle w:val="Chapterbodytext"/>
      </w:pPr>
    </w:p>
    <w:p w14:paraId="6D8626C5" w14:textId="595345C7" w:rsidR="007D2E91" w:rsidRPr="00A70D76" w:rsidRDefault="007D2E91" w:rsidP="00203CD4">
      <w:pPr>
        <w:pStyle w:val="Chapterbodytext"/>
      </w:pPr>
      <w:r w:rsidRPr="00A70D76">
        <w:t>Two bilingual, national online surveys were conducted: one as a baseline, in advance of the campaign, and one at the end of the campaign to measure change in awareness, and to assess the impact of the campaign. The baseline survey included 2,074 Canadians 18 years of age or older, and was collected between October 16 and 28, 2020. The post campaign sample included 2,137 Canadians, also 18 years of age or older, and was collected between December 10 and 21, 2020. Each survey instrument included the Advertising Campaign Evaluation Tool</w:t>
      </w:r>
      <w:r w:rsidR="00574846">
        <w:t xml:space="preserve"> (</w:t>
      </w:r>
      <w:r w:rsidR="00BA4913">
        <w:t>ACET</w:t>
      </w:r>
      <w:r w:rsidR="00574846">
        <w:t>)</w:t>
      </w:r>
      <w:r w:rsidRPr="00A70D76">
        <w:t xml:space="preserve"> questions used by the Government of Canada in all of its advertising evaluation research, along with additional questions testing impact on perceptions and behaviour targeted through the campaign. Each sample included randomly selected respondents from all provinces and territories. </w:t>
      </w:r>
    </w:p>
    <w:p w14:paraId="4E8A41DC" w14:textId="77777777" w:rsidR="007D2E91" w:rsidRPr="00A70D76" w:rsidRDefault="007D2E91" w:rsidP="00203CD4">
      <w:pPr>
        <w:pStyle w:val="Chapterbodytext"/>
      </w:pPr>
    </w:p>
    <w:p w14:paraId="290D7D26" w14:textId="77777777" w:rsidR="007D2E91" w:rsidRPr="00A70D76" w:rsidRDefault="007D2E91" w:rsidP="00203CD4">
      <w:pPr>
        <w:pStyle w:val="Chapterbodytext"/>
      </w:pPr>
      <w:r w:rsidRPr="00A70D76">
        <w:t xml:space="preserve">Each survey sample relied on EKOS’ </w:t>
      </w:r>
      <w:proofErr w:type="spellStart"/>
      <w:r w:rsidRPr="00A70D76">
        <w:t>Prob</w:t>
      </w:r>
      <w:r w:rsidRPr="00A70D76">
        <w:rPr>
          <w:i/>
          <w:iCs/>
        </w:rPr>
        <w:t>it</w:t>
      </w:r>
      <w:proofErr w:type="spellEnd"/>
      <w:r w:rsidRPr="00A70D76">
        <w:rPr>
          <w:i/>
          <w:iCs/>
        </w:rPr>
        <w:t xml:space="preserve"> </w:t>
      </w:r>
      <w:r w:rsidRPr="00A70D76">
        <w:rPr>
          <w:iCs/>
        </w:rPr>
        <w:t>panel, which</w:t>
      </w:r>
      <w:r w:rsidRPr="00A70D76">
        <w:rPr>
          <w:i/>
          <w:iCs/>
        </w:rPr>
        <w:t xml:space="preserve"> </w:t>
      </w:r>
      <w:r w:rsidRPr="00A70D76">
        <w:t xml:space="preserve">is assembled using a random digit dial process for sampling from a blended land-line cell-phone frame, and provides full coverage of Canadians with telephone access. The distribution of the recruitment process is meant to mirror the actual population in Canada (as defined by Statistics Canada). As such, our more than </w:t>
      </w:r>
      <w:r>
        <w:t>9</w:t>
      </w:r>
      <w:r w:rsidRPr="00A70D76">
        <w:t xml:space="preserve">0,000 member panel can be considered representative of the general public in Canada (meaning that the incidence of a given target population within our panel very closely resembles the public at large) and margins of error can be applied. </w:t>
      </w:r>
    </w:p>
    <w:p w14:paraId="0586E7AF" w14:textId="77777777" w:rsidR="007D2E91" w:rsidRPr="00A70D76" w:rsidRDefault="007D2E91" w:rsidP="00203CD4">
      <w:pPr>
        <w:pStyle w:val="Chapterbodytext"/>
      </w:pPr>
    </w:p>
    <w:p w14:paraId="2372E5FD" w14:textId="77777777" w:rsidR="007D2E91" w:rsidRPr="00A70D76" w:rsidRDefault="007D2E91" w:rsidP="00203CD4">
      <w:pPr>
        <w:pStyle w:val="Chapterbodytext"/>
      </w:pPr>
      <w:r w:rsidRPr="00A70D76">
        <w:t xml:space="preserve">Appendix A provides the details of the methodology for these pre- and post-campaign </w:t>
      </w:r>
      <w:r w:rsidRPr="00F50346">
        <w:t>surveys, along with the focus groups.</w:t>
      </w:r>
      <w:r w:rsidRPr="00A70D76">
        <w:t xml:space="preserve"> </w:t>
      </w:r>
    </w:p>
    <w:p w14:paraId="09EDE458" w14:textId="77777777" w:rsidR="007D2E91" w:rsidRPr="00A70D76" w:rsidRDefault="007D2E91" w:rsidP="00203CD4">
      <w:pPr>
        <w:pStyle w:val="Chapterbodytext"/>
      </w:pPr>
    </w:p>
    <w:p w14:paraId="065DB7C0" w14:textId="77777777" w:rsidR="007D2E91" w:rsidRPr="00A70D76" w:rsidRDefault="007D2E91" w:rsidP="002F2741">
      <w:pPr>
        <w:pStyle w:val="Heading4"/>
        <w:rPr>
          <w:lang w:val="en-CA"/>
        </w:rPr>
      </w:pPr>
      <w:r>
        <w:rPr>
          <w:lang w:val="en-CA"/>
        </w:rPr>
        <w:br w:type="page"/>
      </w:r>
      <w:bookmarkStart w:id="10" w:name="_Toc65495862"/>
      <w:r w:rsidRPr="00A70D76">
        <w:rPr>
          <w:lang w:val="en-CA"/>
        </w:rPr>
        <w:lastRenderedPageBreak/>
        <w:t>Key Findings (Focus Groups)</w:t>
      </w:r>
      <w:bookmarkEnd w:id="10"/>
    </w:p>
    <w:p w14:paraId="545EE191" w14:textId="77777777" w:rsidR="007D2E91" w:rsidRPr="00A70D76" w:rsidRDefault="007D2E91" w:rsidP="00A70D76">
      <w:pPr>
        <w:pStyle w:val="Chapterbodytext"/>
      </w:pPr>
    </w:p>
    <w:p w14:paraId="570066F1" w14:textId="77777777" w:rsidR="007D2E91" w:rsidRPr="00A70D76" w:rsidRDefault="007D2E91" w:rsidP="004E1F9F">
      <w:pPr>
        <w:pStyle w:val="Heading5"/>
        <w:rPr>
          <w:lang w:val="en-CA"/>
        </w:rPr>
      </w:pPr>
      <w:r w:rsidRPr="00A70D76">
        <w:rPr>
          <w:lang w:val="en-CA"/>
        </w:rPr>
        <w:t>Concept Testing</w:t>
      </w:r>
    </w:p>
    <w:p w14:paraId="457A21A3" w14:textId="77777777" w:rsidR="007D2E91" w:rsidRPr="00A70D76" w:rsidRDefault="007D2E91" w:rsidP="00DE0971">
      <w:pPr>
        <w:pStyle w:val="Chapterbodytext"/>
      </w:pPr>
    </w:p>
    <w:p w14:paraId="79694E3E" w14:textId="77777777" w:rsidR="007D2E91" w:rsidRPr="00A70D76" w:rsidRDefault="007D2E91" w:rsidP="001A50F2">
      <w:pPr>
        <w:pStyle w:val="Chapterbodytext"/>
      </w:pPr>
      <w:r w:rsidRPr="00A70D76">
        <w:t>Overall, there were a few overarching themes expressed by participants when discussing the three concepts:</w:t>
      </w:r>
    </w:p>
    <w:p w14:paraId="57EB8D2B" w14:textId="77777777" w:rsidR="007D2E91" w:rsidRPr="00A70D76" w:rsidRDefault="007D2E91" w:rsidP="002F2741">
      <w:pPr>
        <w:pStyle w:val="Highl-1"/>
        <w:rPr>
          <w:sz w:val="24"/>
          <w:szCs w:val="24"/>
          <w:lang w:val="en-CA"/>
        </w:rPr>
      </w:pPr>
      <w:r w:rsidRPr="00A70D76">
        <w:rPr>
          <w:sz w:val="24"/>
          <w:szCs w:val="24"/>
          <w:lang w:val="en-CA"/>
        </w:rPr>
        <w:t xml:space="preserve">Use of humour is viewed as acceptable by most, and seen as useful in garnering attention; </w:t>
      </w:r>
    </w:p>
    <w:p w14:paraId="02939326" w14:textId="77777777" w:rsidR="007D2E91" w:rsidRPr="00A70D76" w:rsidRDefault="007D2E91" w:rsidP="002F2741">
      <w:pPr>
        <w:pStyle w:val="Highl-1"/>
        <w:rPr>
          <w:sz w:val="24"/>
          <w:szCs w:val="24"/>
          <w:lang w:val="en-CA"/>
        </w:rPr>
      </w:pPr>
      <w:r w:rsidRPr="00A70D76">
        <w:rPr>
          <w:sz w:val="24"/>
          <w:szCs w:val="24"/>
          <w:lang w:val="en-CA"/>
        </w:rPr>
        <w:t xml:space="preserve">Pay careful attention to avoid anyone being made to look silly; </w:t>
      </w:r>
    </w:p>
    <w:p w14:paraId="7280DB30" w14:textId="77777777" w:rsidR="007D2E91" w:rsidRPr="00A70D76" w:rsidRDefault="007D2E91" w:rsidP="002F2741">
      <w:pPr>
        <w:pStyle w:val="Highl-1"/>
        <w:rPr>
          <w:sz w:val="24"/>
          <w:szCs w:val="24"/>
          <w:lang w:val="en-CA"/>
        </w:rPr>
      </w:pPr>
      <w:r w:rsidRPr="00A70D76">
        <w:rPr>
          <w:sz w:val="24"/>
          <w:szCs w:val="24"/>
          <w:lang w:val="en-CA"/>
        </w:rPr>
        <w:t>Be aware of constraining or negative stereotypes;</w:t>
      </w:r>
    </w:p>
    <w:p w14:paraId="5465BE18" w14:textId="77777777" w:rsidR="007D2E91" w:rsidRPr="00A70D76" w:rsidRDefault="007D2E91" w:rsidP="002F2741">
      <w:pPr>
        <w:pStyle w:val="Highl-1"/>
        <w:rPr>
          <w:sz w:val="24"/>
          <w:szCs w:val="24"/>
          <w:lang w:val="en-CA"/>
        </w:rPr>
      </w:pPr>
      <w:r w:rsidRPr="00A70D76">
        <w:rPr>
          <w:sz w:val="24"/>
          <w:szCs w:val="24"/>
          <w:lang w:val="en-CA"/>
        </w:rPr>
        <w:t>Be sensitive to the mood of the public; messaging should be constructive and hopeful. Negative messaging is seen as particularly inappropriate at this time;</w:t>
      </w:r>
    </w:p>
    <w:p w14:paraId="5E3A80A6" w14:textId="77777777" w:rsidR="007D2E91" w:rsidRPr="00A70D76" w:rsidRDefault="007D2E91" w:rsidP="002F2741">
      <w:pPr>
        <w:pStyle w:val="Highl-1"/>
        <w:rPr>
          <w:sz w:val="24"/>
          <w:szCs w:val="24"/>
          <w:lang w:val="en-CA"/>
        </w:rPr>
      </w:pPr>
      <w:r w:rsidRPr="00A70D76">
        <w:rPr>
          <w:sz w:val="24"/>
          <w:szCs w:val="24"/>
          <w:lang w:val="en-CA"/>
        </w:rPr>
        <w:t xml:space="preserve">Use of animated or live action work equally well for most; and, </w:t>
      </w:r>
    </w:p>
    <w:p w14:paraId="056649A8" w14:textId="77777777" w:rsidR="007D2E91" w:rsidRPr="00A70D76" w:rsidRDefault="007D2E91" w:rsidP="002F2741">
      <w:pPr>
        <w:pStyle w:val="Highl-1"/>
        <w:rPr>
          <w:sz w:val="24"/>
          <w:szCs w:val="24"/>
          <w:lang w:val="en-CA"/>
        </w:rPr>
      </w:pPr>
      <w:r w:rsidRPr="00A70D76">
        <w:rPr>
          <w:sz w:val="24"/>
          <w:szCs w:val="24"/>
          <w:lang w:val="en-CA"/>
        </w:rPr>
        <w:t xml:space="preserve">Use of concrete examples of financial information/management/planning tools is helpful in garnering attention and understanding. </w:t>
      </w:r>
    </w:p>
    <w:p w14:paraId="40247458" w14:textId="77777777" w:rsidR="007D2E91" w:rsidRPr="00A70D76" w:rsidRDefault="007D2E91" w:rsidP="002F2741">
      <w:pPr>
        <w:pStyle w:val="Chapterbodytext"/>
      </w:pPr>
    </w:p>
    <w:p w14:paraId="5190244B" w14:textId="77777777" w:rsidR="007D2E91" w:rsidRPr="00A70D76" w:rsidRDefault="007D2E91" w:rsidP="002F2741">
      <w:pPr>
        <w:pStyle w:val="Chapterbodytext"/>
      </w:pPr>
      <w:r w:rsidRPr="00A70D76">
        <w:t>Following are specific reactions to each of the three concepts:</w:t>
      </w:r>
    </w:p>
    <w:p w14:paraId="21CD204C" w14:textId="77777777" w:rsidR="007D2E91" w:rsidRPr="00A70D76" w:rsidRDefault="007D2E91" w:rsidP="008D2CE7">
      <w:pPr>
        <w:pStyle w:val="Chapterbodytext"/>
      </w:pPr>
    </w:p>
    <w:p w14:paraId="555CCF49" w14:textId="77777777" w:rsidR="007D2E91" w:rsidRPr="00A70D76" w:rsidRDefault="007D2E91" w:rsidP="008D2CE7">
      <w:pPr>
        <w:pStyle w:val="Chapterbodytext"/>
        <w:rPr>
          <w:b/>
          <w:bCs/>
          <w:i/>
          <w:iCs/>
        </w:rPr>
      </w:pPr>
      <w:r w:rsidRPr="00A70D76">
        <w:rPr>
          <w:b/>
          <w:bCs/>
          <w:i/>
          <w:iCs/>
        </w:rPr>
        <w:t>Smart Decisions</w:t>
      </w:r>
    </w:p>
    <w:p w14:paraId="64890EE4" w14:textId="77777777" w:rsidR="007D2E91" w:rsidRPr="00A70D76" w:rsidRDefault="007D2E91" w:rsidP="002F2741">
      <w:pPr>
        <w:pStyle w:val="Chapterbodytext"/>
      </w:pPr>
      <w:r w:rsidRPr="00A70D76">
        <w:t xml:space="preserve">The Smart Decisions concept was generally met with the most mixed reactions from participants. Those who liked this concept, really liked it, seeing the humour as quirky and commanding of attention. Many, however, found it odd, confusing and distracting. More importantly, while some interpreted the message as FCAC offering assistance in meeting financial goals, others saw the message as one of curbing expectations and lowering aspirations, which was not seen as an appropriate message in the current environment. The description required to set the scene for this concept may have distracted participants from appreciating the approach fully. However, the mixed interpretation of the message makes this concept difficult to work with. Overall ratings provided by participants also placed this concept last among the three concepts. </w:t>
      </w:r>
    </w:p>
    <w:p w14:paraId="790D25D4" w14:textId="77777777" w:rsidR="007D2E91" w:rsidRPr="00A70D76" w:rsidRDefault="007D2E91" w:rsidP="002F2741">
      <w:pPr>
        <w:pStyle w:val="Chapterbodytext"/>
      </w:pPr>
    </w:p>
    <w:p w14:paraId="08713087" w14:textId="77777777" w:rsidR="007D2E91" w:rsidRPr="00A70D76" w:rsidRDefault="007D2E91" w:rsidP="008D2CE7">
      <w:pPr>
        <w:pStyle w:val="Chapterbodytext"/>
        <w:rPr>
          <w:b/>
          <w:bCs/>
          <w:i/>
          <w:iCs/>
        </w:rPr>
      </w:pPr>
      <w:r w:rsidRPr="00A70D76">
        <w:rPr>
          <w:b/>
          <w:bCs/>
          <w:i/>
          <w:iCs/>
        </w:rPr>
        <w:t>Know Better</w:t>
      </w:r>
    </w:p>
    <w:p w14:paraId="795F5DEB" w14:textId="77777777" w:rsidR="007D2E91" w:rsidRPr="00A70D76" w:rsidRDefault="007D2E91" w:rsidP="002F2741">
      <w:pPr>
        <w:pStyle w:val="Chapterbodytext"/>
      </w:pPr>
      <w:r w:rsidRPr="00A70D76">
        <w:t xml:space="preserve">Like the Smart Decisions concept, there were also mixed reviews about the Know Better concept. Again, some enjoyed the straightforward approach and the quirky humour of the mattress. Some also appreciated the historical reference to stuffing money in a mattress, equating it with a broad range of inferior sources of financial advice. Many others, however, did not understand this reference, or did not make this connection. Some also found the image of the mattress distracting, and even “creepy”, making this concept also difficult to implement in a way that would strike a </w:t>
      </w:r>
      <w:r w:rsidRPr="00A70D76">
        <w:lastRenderedPageBreak/>
        <w:t>positive chord with most Canadians. While ratings were slightly higher than garnered by Smart Decisions, this concept was also not rated strongly.</w:t>
      </w:r>
    </w:p>
    <w:p w14:paraId="5AA2E706" w14:textId="77777777" w:rsidR="007D2E91" w:rsidRPr="00A70D76" w:rsidRDefault="007D2E91" w:rsidP="002F2741">
      <w:pPr>
        <w:pStyle w:val="Chapterbodytext"/>
      </w:pPr>
    </w:p>
    <w:p w14:paraId="3685A553" w14:textId="77777777" w:rsidR="007D2E91" w:rsidRPr="00A70D76" w:rsidRDefault="007D2E91" w:rsidP="008D2CE7">
      <w:pPr>
        <w:pStyle w:val="Chapterbodytext"/>
        <w:rPr>
          <w:b/>
          <w:bCs/>
          <w:i/>
          <w:iCs/>
        </w:rPr>
      </w:pPr>
      <w:r w:rsidRPr="00A70D76">
        <w:rPr>
          <w:b/>
          <w:bCs/>
          <w:i/>
          <w:iCs/>
        </w:rPr>
        <w:t>Something New to Learn</w:t>
      </w:r>
    </w:p>
    <w:p w14:paraId="40243A51" w14:textId="77777777" w:rsidR="007D2E91" w:rsidRPr="00A70D76" w:rsidRDefault="007D2E91" w:rsidP="002F2741">
      <w:pPr>
        <w:pStyle w:val="Chapterbodytext"/>
      </w:pPr>
      <w:r w:rsidRPr="00A70D76">
        <w:t xml:space="preserve">The Something New to Learn concept was, of the three, the preferred one, seen as likely to be successful with Canadians. It was seen as light-hearted and at the same time relevant to the times. There were a few issues discussed by participants that would argue for some changes in the implementation of this approach. While many liked the humorous reference to trial and error in learning something new, participants warned against making someone look unintelligent or incapable. Avoiding cliché stereotypes was also raised. This concept garnered higher ratings than the other two on tone, clarity of message, commanding attention, relevance, and impact, and also received the highest overall ranking. </w:t>
      </w:r>
    </w:p>
    <w:p w14:paraId="48DE151C" w14:textId="77777777" w:rsidR="007D2E91" w:rsidRPr="00A70D76" w:rsidRDefault="007D2E91" w:rsidP="002F2741">
      <w:pPr>
        <w:pStyle w:val="Chapterbodytext"/>
      </w:pPr>
    </w:p>
    <w:p w14:paraId="0ADCAB4B" w14:textId="77777777" w:rsidR="007D2E91" w:rsidRPr="00A70D76" w:rsidRDefault="007D2E91" w:rsidP="002F2741">
      <w:pPr>
        <w:pStyle w:val="Heading4"/>
        <w:rPr>
          <w:lang w:val="en-CA"/>
        </w:rPr>
      </w:pPr>
      <w:bookmarkStart w:id="11" w:name="_Toc65495863"/>
      <w:r w:rsidRPr="00A70D76">
        <w:rPr>
          <w:lang w:val="en-CA"/>
        </w:rPr>
        <w:t>Note to Readers</w:t>
      </w:r>
      <w:bookmarkEnd w:id="11"/>
    </w:p>
    <w:p w14:paraId="4EA400BC" w14:textId="77777777" w:rsidR="007D2E91" w:rsidRPr="00A70D76" w:rsidRDefault="007D2E91" w:rsidP="002F2741">
      <w:pPr>
        <w:pStyle w:val="Chapterbodytext"/>
      </w:pPr>
    </w:p>
    <w:p w14:paraId="04BD17BF" w14:textId="77777777" w:rsidR="007D2E91" w:rsidRPr="00A70D76" w:rsidRDefault="007D2E91" w:rsidP="002F2741">
      <w:pPr>
        <w:pStyle w:val="Chapterbodytext"/>
        <w:rPr>
          <w:rFonts w:cs="Arial"/>
          <w:lang w:eastAsia="en-CA"/>
        </w:rPr>
      </w:pPr>
      <w:r w:rsidRPr="00A70D76">
        <w:t xml:space="preserve">It should be kept in mind when reading this report that findings from the focus groups are qualitative in nature, designed to provide a richer context </w:t>
      </w:r>
      <w:r w:rsidRPr="00A70D76">
        <w:rPr>
          <w:rFonts w:cs="Arial"/>
          <w:lang w:eastAsia="en-CA"/>
        </w:rPr>
        <w:t>rather than to measure percentages of the target population. These results are not intended to be used to estimate the numeric proportion or number of individuals in the population who hold a particular opinion as they are not statistically projectable.</w:t>
      </w:r>
    </w:p>
    <w:p w14:paraId="6544BFFE" w14:textId="77777777" w:rsidR="007D2E91" w:rsidRPr="00A70D76" w:rsidRDefault="007D2E91" w:rsidP="002F2741">
      <w:pPr>
        <w:pStyle w:val="Chapterbodytext"/>
      </w:pPr>
    </w:p>
    <w:p w14:paraId="198669AA" w14:textId="77777777" w:rsidR="007D2E91" w:rsidRPr="00A70D76" w:rsidRDefault="007D2E91" w:rsidP="002F2741">
      <w:pPr>
        <w:pStyle w:val="Heading4"/>
        <w:rPr>
          <w:lang w:val="en-CA"/>
        </w:rPr>
      </w:pPr>
      <w:bookmarkStart w:id="12" w:name="_Toc65495864"/>
      <w:r w:rsidRPr="00A70D76">
        <w:rPr>
          <w:lang w:val="en-CA"/>
        </w:rPr>
        <w:t>Contract Value</w:t>
      </w:r>
      <w:bookmarkEnd w:id="12"/>
    </w:p>
    <w:p w14:paraId="549051EF" w14:textId="77777777" w:rsidR="007D2E91" w:rsidRPr="00A70D76" w:rsidRDefault="007D2E91" w:rsidP="00DE0971">
      <w:pPr>
        <w:pStyle w:val="Chapterbodytext"/>
      </w:pPr>
    </w:p>
    <w:p w14:paraId="3FA419FD" w14:textId="77777777" w:rsidR="007D2E91" w:rsidRPr="00A70D76" w:rsidRDefault="007D2E91" w:rsidP="00DE0971">
      <w:pPr>
        <w:pStyle w:val="Chapterbodytext"/>
      </w:pPr>
      <w:r w:rsidRPr="00A70D76">
        <w:t xml:space="preserve">The contract value for the POR project is $99,983.68 (including HST). </w:t>
      </w:r>
    </w:p>
    <w:p w14:paraId="1585C26C" w14:textId="77777777" w:rsidR="007D2E91" w:rsidRPr="00A70D76" w:rsidRDefault="007D2E91" w:rsidP="00DE0971">
      <w:pPr>
        <w:pStyle w:val="Chapterbodytext"/>
      </w:pPr>
    </w:p>
    <w:p w14:paraId="478075F6" w14:textId="77777777" w:rsidR="007D2E91" w:rsidRPr="00A70D76" w:rsidRDefault="007D2E91" w:rsidP="00DE0971">
      <w:pPr>
        <w:pStyle w:val="Chapterbodytext"/>
      </w:pPr>
      <w:r w:rsidRPr="00A70D76">
        <w:t>Supplier Name: EKOS Research Associates</w:t>
      </w:r>
    </w:p>
    <w:p w14:paraId="263A3835" w14:textId="77777777" w:rsidR="007D2E91" w:rsidRPr="00A70D76" w:rsidRDefault="007D2E91" w:rsidP="00DE0971">
      <w:pPr>
        <w:pStyle w:val="Chapterbodytext"/>
      </w:pPr>
      <w:r w:rsidRPr="00A70D76">
        <w:t>PWGSC Contract Number: 5R000-200546/001/CY</w:t>
      </w:r>
    </w:p>
    <w:p w14:paraId="228B1AEE" w14:textId="77777777" w:rsidR="007D2E91" w:rsidRPr="00A70D76" w:rsidRDefault="007D2E91" w:rsidP="00DE0971">
      <w:pPr>
        <w:pStyle w:val="Chapterbodytext"/>
      </w:pPr>
      <w:r w:rsidRPr="00A70D76">
        <w:t>Contract Award Date: September 13, 2020</w:t>
      </w:r>
    </w:p>
    <w:p w14:paraId="4D94CF7D" w14:textId="77777777" w:rsidR="007D2E91" w:rsidRPr="00A70D76" w:rsidRDefault="007D2E91" w:rsidP="00DE0971">
      <w:pPr>
        <w:pStyle w:val="Chapterbodytext"/>
      </w:pPr>
      <w:r w:rsidRPr="00A70D76">
        <w:t>To obtain more information on this study, please e-mail info@fcac-acfc.gc.ca</w:t>
      </w:r>
    </w:p>
    <w:p w14:paraId="60E8BCA2" w14:textId="77777777" w:rsidR="007D2E91" w:rsidRPr="00A70D76" w:rsidRDefault="007D2E91" w:rsidP="00DE0971">
      <w:pPr>
        <w:pStyle w:val="Chapterbodytext"/>
      </w:pPr>
    </w:p>
    <w:p w14:paraId="5B9984F7" w14:textId="77777777" w:rsidR="007D2E91" w:rsidRPr="00A70D76" w:rsidRDefault="007D2E91" w:rsidP="002F2741">
      <w:pPr>
        <w:pStyle w:val="Heading4"/>
        <w:rPr>
          <w:lang w:val="en-CA"/>
        </w:rPr>
      </w:pPr>
      <w:bookmarkStart w:id="13" w:name="_Toc479585569"/>
      <w:r>
        <w:rPr>
          <w:lang w:val="en-CA"/>
        </w:rPr>
        <w:br w:type="page"/>
      </w:r>
      <w:bookmarkStart w:id="14" w:name="_Toc65495865"/>
      <w:r w:rsidRPr="00A70D76">
        <w:rPr>
          <w:lang w:val="en-CA"/>
        </w:rPr>
        <w:lastRenderedPageBreak/>
        <w:t>Political Neutrality Certification</w:t>
      </w:r>
      <w:bookmarkEnd w:id="13"/>
      <w:bookmarkEnd w:id="14"/>
    </w:p>
    <w:p w14:paraId="2B8EEA13" w14:textId="77777777" w:rsidR="007D2E91" w:rsidRPr="00A70D76" w:rsidRDefault="007D2E91" w:rsidP="00DE0971">
      <w:pPr>
        <w:pStyle w:val="Chapterbodytext"/>
      </w:pPr>
    </w:p>
    <w:p w14:paraId="24B6956C" w14:textId="77777777" w:rsidR="007D2E91" w:rsidRPr="00A70D76" w:rsidRDefault="007D2E91" w:rsidP="00DE0971">
      <w:pPr>
        <w:pStyle w:val="Chapterbodytext"/>
      </w:pPr>
      <w:r w:rsidRPr="00A70D76">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14:paraId="0B8F24C2" w14:textId="77777777" w:rsidR="007D2E91" w:rsidRPr="00A70D76" w:rsidRDefault="007D2E91" w:rsidP="00DE0971">
      <w:pPr>
        <w:pStyle w:val="Chapterbodytext"/>
      </w:pPr>
    </w:p>
    <w:p w14:paraId="0D81D5C2" w14:textId="77777777" w:rsidR="007D2E91" w:rsidRPr="00A70D76" w:rsidRDefault="007D2E91" w:rsidP="00DE0971">
      <w:pPr>
        <w:pStyle w:val="Chapterbodytext"/>
      </w:pPr>
      <w:r w:rsidRPr="00A70D76">
        <w:t>Specifically, the deliverables do not include information on electoral voting intentions, political party preferences, standings with the electorate, or ratings of the performance of a political party or its leaders.</w:t>
      </w:r>
    </w:p>
    <w:p w14:paraId="48F23E8E" w14:textId="77777777" w:rsidR="007D2E91" w:rsidRPr="00A70D76" w:rsidRDefault="007D2E91" w:rsidP="00DE0971">
      <w:pPr>
        <w:pStyle w:val="Chapterbodytext"/>
      </w:pPr>
    </w:p>
    <w:p w14:paraId="1056A794" w14:textId="77777777" w:rsidR="007D2E91" w:rsidRPr="00A70D76" w:rsidRDefault="007D2E91" w:rsidP="00DE0971">
      <w:pPr>
        <w:pStyle w:val="Chapterbodytext"/>
      </w:pPr>
      <w:r w:rsidRPr="00A70D76">
        <w:t xml:space="preserve">Signed by: </w:t>
      </w:r>
      <w:r w:rsidRPr="00A70D76">
        <w:tab/>
      </w:r>
      <w:r w:rsidRPr="00A70D76">
        <w:tab/>
      </w:r>
      <w:r w:rsidR="0004506E">
        <w:rPr>
          <w:noProof/>
          <w:u w:val="single"/>
          <w:lang w:val="en-US" w:eastAsia="en-US"/>
        </w:rPr>
        <w:drawing>
          <wp:inline distT="0" distB="0" distL="0" distR="0" wp14:anchorId="6DB923D9" wp14:editId="72A11D16">
            <wp:extent cx="1828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14:paraId="67679202" w14:textId="77777777" w:rsidR="007D2E91" w:rsidRDefault="007D2E91" w:rsidP="00DE0971">
      <w:pPr>
        <w:pStyle w:val="Chapterbodytext"/>
      </w:pPr>
      <w:r w:rsidRPr="00A70D76">
        <w:tab/>
      </w:r>
      <w:r w:rsidRPr="00A70D76">
        <w:tab/>
        <w:t xml:space="preserve">Susan Galley (Vice President) </w:t>
      </w:r>
    </w:p>
    <w:p w14:paraId="0B594E3E" w14:textId="77777777" w:rsidR="007D2E91" w:rsidRDefault="007D2E91" w:rsidP="00A70D76">
      <w:pPr>
        <w:pStyle w:val="Chapterbodytext"/>
      </w:pPr>
    </w:p>
    <w:p w14:paraId="7C1B4922" w14:textId="77777777" w:rsidR="007D2E91" w:rsidRDefault="007D2E91" w:rsidP="009E3373">
      <w:pPr>
        <w:rPr>
          <w:lang w:val="en-CA"/>
        </w:rPr>
      </w:pPr>
    </w:p>
    <w:sectPr w:rsidR="007D2E91" w:rsidSect="007D00F0">
      <w:footerReference w:type="even" r:id="rId11"/>
      <w:footerReference w:type="default" r:id="rId12"/>
      <w:footerReference w:type="first" r:id="rId13"/>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F3BC" w14:textId="77777777" w:rsidR="007D2E91" w:rsidRDefault="007D2E91">
      <w:r>
        <w:separator/>
      </w:r>
    </w:p>
  </w:endnote>
  <w:endnote w:type="continuationSeparator" w:id="0">
    <w:p w14:paraId="1355B56B" w14:textId="77777777" w:rsidR="007D2E91" w:rsidRDefault="007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F26D" w14:textId="77777777" w:rsidR="007D2E91" w:rsidRPr="00FF3489" w:rsidRDefault="007D2E91"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61E71FF4" w14:textId="77777777" w:rsidR="007D2E91" w:rsidRDefault="007D2E91" w:rsidP="00992B6A">
    <w:pPr>
      <w:pStyle w:val="Footer"/>
      <w:spacing w:after="0" w:line="240" w:lineRule="auto"/>
      <w:ind w:left="187" w:right="0"/>
    </w:pPr>
  </w:p>
  <w:p w14:paraId="7AC1C41B" w14:textId="77777777" w:rsidR="007D2E91" w:rsidRPr="002060B4" w:rsidRDefault="007D2E91"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C6E" w14:textId="77777777" w:rsidR="007D2E91" w:rsidRPr="00FF3489" w:rsidRDefault="007D2E91" w:rsidP="007D00F0">
    <w:pPr>
      <w:pStyle w:val="Footer"/>
      <w:tabs>
        <w:tab w:val="clear" w:pos="180"/>
        <w:tab w:val="right" w:pos="9360"/>
      </w:tabs>
      <w:spacing w:after="0" w:line="240" w:lineRule="auto"/>
      <w:ind w:left="0" w:right="0" w:firstLine="0"/>
      <w:rPr>
        <w:u w:val="single"/>
      </w:rPr>
    </w:pPr>
    <w:r>
      <w:rPr>
        <w:u w:val="single"/>
      </w:rPr>
      <w:t>_______________________________________</w:t>
    </w:r>
  </w:p>
  <w:p w14:paraId="2FE55450" w14:textId="77777777" w:rsidR="007D2E91" w:rsidRDefault="007D2E91" w:rsidP="007D00F0">
    <w:pPr>
      <w:pStyle w:val="Footer"/>
      <w:spacing w:after="0" w:line="240" w:lineRule="auto"/>
      <w:ind w:left="187" w:right="0"/>
    </w:pPr>
  </w:p>
  <w:p w14:paraId="0BE05E6D" w14:textId="77777777" w:rsidR="007D2E91" w:rsidRPr="002060B4" w:rsidRDefault="007D2E91" w:rsidP="007D00F0">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8</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E81B" w14:textId="77777777" w:rsidR="007D2E91" w:rsidRPr="00FF3489" w:rsidRDefault="007D2E91"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33FB33A5" w14:textId="77777777" w:rsidR="007D2E91" w:rsidRDefault="007D2E91" w:rsidP="00992B6A">
    <w:pPr>
      <w:pStyle w:val="Footer"/>
      <w:spacing w:after="0" w:line="240" w:lineRule="auto"/>
      <w:ind w:left="187" w:right="0"/>
    </w:pPr>
  </w:p>
  <w:p w14:paraId="46F900A1" w14:textId="253A05E8" w:rsidR="007D2E91" w:rsidRPr="002060B4" w:rsidRDefault="007D2E91"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w:t>
    </w:r>
    <w:r w:rsidR="00F1204C">
      <w:rPr>
        <w:rStyle w:val="PageNumber"/>
      </w:rPr>
      <w:t>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E011" w14:textId="77777777" w:rsidR="007D2E91" w:rsidRPr="00FF3489" w:rsidRDefault="007D2E91" w:rsidP="00757426">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49C5AABE" w14:textId="77777777" w:rsidR="007D2E91" w:rsidRDefault="007D2E91" w:rsidP="00757426">
    <w:pPr>
      <w:pStyle w:val="Footer"/>
      <w:spacing w:after="0" w:line="240" w:lineRule="auto"/>
      <w:ind w:left="187" w:right="0"/>
      <w:jc w:val="right"/>
    </w:pPr>
  </w:p>
  <w:p w14:paraId="3F340833" w14:textId="77777777" w:rsidR="007D2E91" w:rsidRPr="002060B4" w:rsidRDefault="007D2E91" w:rsidP="00757426">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CC81" w14:textId="77777777" w:rsidR="007D2E91" w:rsidRDefault="007D2E91">
      <w:r>
        <w:separator/>
      </w:r>
    </w:p>
  </w:footnote>
  <w:footnote w:type="continuationSeparator" w:id="0">
    <w:p w14:paraId="7C17BFAF" w14:textId="77777777" w:rsidR="007D2E91" w:rsidRDefault="007D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1692"/>
    <w:multiLevelType w:val="hybridMultilevel"/>
    <w:tmpl w:val="8EF24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D81238"/>
    <w:multiLevelType w:val="hybridMultilevel"/>
    <w:tmpl w:val="4A2CE140"/>
    <w:lvl w:ilvl="0" w:tplc="93CC6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022B9"/>
    <w:multiLevelType w:val="hybridMultilevel"/>
    <w:tmpl w:val="825689C0"/>
    <w:lvl w:ilvl="0" w:tplc="10090001">
      <w:start w:val="1"/>
      <w:numFmt w:val="bullet"/>
      <w:pStyle w:val="g-bul3"/>
      <w:lvlText w:val="¤"/>
      <w:lvlJc w:val="left"/>
      <w:pPr>
        <w:tabs>
          <w:tab w:val="num" w:pos="7200"/>
        </w:tabs>
        <w:ind w:left="7200" w:hanging="360"/>
      </w:pPr>
      <w:rPr>
        <w:rFonts w:ascii="Trebuchet MS" w:hAnsi="Trebuchet MS" w:hint="default"/>
        <w:b w:val="0"/>
        <w:i w:val="0"/>
        <w:sz w:val="22"/>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B45577"/>
    <w:multiLevelType w:val="multilevel"/>
    <w:tmpl w:val="068C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23138"/>
    <w:multiLevelType w:val="multilevel"/>
    <w:tmpl w:val="DA4C17DC"/>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72089"/>
    <w:multiLevelType w:val="hybridMultilevel"/>
    <w:tmpl w:val="B16E4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B6060"/>
    <w:multiLevelType w:val="hybridMultilevel"/>
    <w:tmpl w:val="44606800"/>
    <w:lvl w:ilvl="0" w:tplc="30EC3308">
      <w:numFmt w:val="bullet"/>
      <w:lvlText w:val="-"/>
      <w:lvlJc w:val="left"/>
      <w:pPr>
        <w:ind w:left="720" w:hanging="360"/>
      </w:pPr>
      <w:rPr>
        <w:rFonts w:ascii="Calibri" w:eastAsia="MS Mincho"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404C1F"/>
    <w:multiLevelType w:val="hybridMultilevel"/>
    <w:tmpl w:val="1560689E"/>
    <w:lvl w:ilvl="0" w:tplc="C04E1322">
      <w:start w:val="1"/>
      <w:numFmt w:val="decimal"/>
      <w:pStyle w:val="Body-guide"/>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96E6711"/>
    <w:multiLevelType w:val="hybridMultilevel"/>
    <w:tmpl w:val="69263808"/>
    <w:lvl w:ilvl="0" w:tplc="7AB847EA">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B390F"/>
    <w:multiLevelType w:val="hybridMultilevel"/>
    <w:tmpl w:val="81FADD9E"/>
    <w:lvl w:ilvl="0" w:tplc="D5FEEDCE">
      <w:start w:val="5"/>
      <w:numFmt w:val="bullet"/>
      <w:lvlText w:val="-"/>
      <w:lvlJc w:val="left"/>
      <w:pPr>
        <w:ind w:left="720" w:hanging="360"/>
      </w:pPr>
      <w:rPr>
        <w:rFonts w:ascii="Calibri" w:eastAsia="Times New Roman" w:hAnsi="Calibri" w:hint="default"/>
      </w:rPr>
    </w:lvl>
    <w:lvl w:ilvl="1" w:tplc="3176CDC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9E095B"/>
    <w:multiLevelType w:val="hybridMultilevel"/>
    <w:tmpl w:val="15A24546"/>
    <w:lvl w:ilvl="0" w:tplc="EE666620">
      <w:start w:val="1"/>
      <w:numFmt w:val="bullet"/>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0433A"/>
    <w:multiLevelType w:val="hybridMultilevel"/>
    <w:tmpl w:val="AD88DD94"/>
    <w:lvl w:ilvl="0" w:tplc="29F874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8505F02"/>
    <w:multiLevelType w:val="hybridMultilevel"/>
    <w:tmpl w:val="426EFA0C"/>
    <w:lvl w:ilvl="0" w:tplc="FFFFFFFF">
      <w:start w:val="1"/>
      <w:numFmt w:val="bullet"/>
      <w:lvlText w:val=""/>
      <w:lvlJc w:val="left"/>
      <w:pPr>
        <w:ind w:left="1440" w:hanging="360"/>
      </w:pPr>
      <w:rPr>
        <w:rFonts w:ascii="Symbol" w:hAnsi="Symbol" w:hint="default"/>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79235DC"/>
    <w:multiLevelType w:val="hybridMultilevel"/>
    <w:tmpl w:val="3AAC216A"/>
    <w:lvl w:ilvl="0" w:tplc="10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17" w15:restartNumberingAfterBreak="0">
    <w:nsid w:val="76072A4D"/>
    <w:multiLevelType w:val="hybridMultilevel"/>
    <w:tmpl w:val="89A2A7C6"/>
    <w:lvl w:ilvl="0" w:tplc="04661E9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46FE5"/>
    <w:multiLevelType w:val="hybridMultilevel"/>
    <w:tmpl w:val="4364B454"/>
    <w:lvl w:ilvl="0" w:tplc="4E92C87E">
      <w:start w:val="1"/>
      <w:numFmt w:val="bullet"/>
      <w:pStyle w:val="g-bul2"/>
      <w:lvlText w:val="◊"/>
      <w:lvlJc w:val="left"/>
      <w:pPr>
        <w:tabs>
          <w:tab w:val="num" w:pos="5040"/>
        </w:tabs>
        <w:ind w:left="5040" w:hanging="360"/>
      </w:pPr>
      <w:rPr>
        <w:rFonts w:ascii="Trebuchet MS" w:hAnsi="Trebuchet MS" w:hint="default"/>
        <w:b/>
        <w:i w:val="0"/>
        <w:sz w:val="24"/>
      </w:rPr>
    </w:lvl>
    <w:lvl w:ilvl="1" w:tplc="1B52A2E0" w:tentative="1">
      <w:start w:val="1"/>
      <w:numFmt w:val="bullet"/>
      <w:lvlText w:val="o"/>
      <w:lvlJc w:val="left"/>
      <w:pPr>
        <w:tabs>
          <w:tab w:val="num" w:pos="1440"/>
        </w:tabs>
        <w:ind w:left="1440" w:hanging="360"/>
      </w:pPr>
      <w:rPr>
        <w:rFonts w:ascii="Courier New" w:hAnsi="Courier New" w:hint="default"/>
      </w:rPr>
    </w:lvl>
    <w:lvl w:ilvl="2" w:tplc="BDB8C49C"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5"/>
  </w:num>
  <w:num w:numId="4">
    <w:abstractNumId w:val="18"/>
  </w:num>
  <w:num w:numId="5">
    <w:abstractNumId w:val="3"/>
  </w:num>
  <w:num w:numId="6">
    <w:abstractNumId w:val="5"/>
  </w:num>
  <w:num w:numId="7">
    <w:abstractNumId w:val="10"/>
  </w:num>
  <w:num w:numId="8">
    <w:abstractNumId w:val="0"/>
  </w:num>
  <w:num w:numId="9">
    <w:abstractNumId w:val="13"/>
  </w:num>
  <w:num w:numId="10">
    <w:abstractNumId w:val="11"/>
  </w:num>
  <w:num w:numId="11">
    <w:abstractNumId w:val="2"/>
  </w:num>
  <w:num w:numId="12">
    <w:abstractNumId w:val="16"/>
  </w:num>
  <w:num w:numId="13">
    <w:abstractNumId w:val="1"/>
  </w:num>
  <w:num w:numId="14">
    <w:abstractNumId w:val="14"/>
  </w:num>
  <w:num w:numId="15">
    <w:abstractNumId w:val="1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7"/>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C1"/>
    <w:rsid w:val="0000231A"/>
    <w:rsid w:val="00004883"/>
    <w:rsid w:val="00005709"/>
    <w:rsid w:val="000122B8"/>
    <w:rsid w:val="000127D3"/>
    <w:rsid w:val="00020FE3"/>
    <w:rsid w:val="00025C4B"/>
    <w:rsid w:val="000320F4"/>
    <w:rsid w:val="00035027"/>
    <w:rsid w:val="00040173"/>
    <w:rsid w:val="0004506E"/>
    <w:rsid w:val="00045D13"/>
    <w:rsid w:val="00057276"/>
    <w:rsid w:val="00065D3F"/>
    <w:rsid w:val="000741DA"/>
    <w:rsid w:val="000848E2"/>
    <w:rsid w:val="00094A28"/>
    <w:rsid w:val="000A2787"/>
    <w:rsid w:val="000A5C2C"/>
    <w:rsid w:val="000D1DED"/>
    <w:rsid w:val="000D30CF"/>
    <w:rsid w:val="000D3288"/>
    <w:rsid w:val="000E0F29"/>
    <w:rsid w:val="000E1EA9"/>
    <w:rsid w:val="000E25EA"/>
    <w:rsid w:val="000E32DF"/>
    <w:rsid w:val="000E3FFE"/>
    <w:rsid w:val="000E7358"/>
    <w:rsid w:val="000F01EF"/>
    <w:rsid w:val="000F51E8"/>
    <w:rsid w:val="000F6002"/>
    <w:rsid w:val="000F735B"/>
    <w:rsid w:val="00116B19"/>
    <w:rsid w:val="00124CC9"/>
    <w:rsid w:val="00125AB8"/>
    <w:rsid w:val="00126E85"/>
    <w:rsid w:val="00127318"/>
    <w:rsid w:val="001335B8"/>
    <w:rsid w:val="00134515"/>
    <w:rsid w:val="00143A33"/>
    <w:rsid w:val="00150F17"/>
    <w:rsid w:val="001649A2"/>
    <w:rsid w:val="001707A5"/>
    <w:rsid w:val="001846C6"/>
    <w:rsid w:val="00186B8E"/>
    <w:rsid w:val="001968AD"/>
    <w:rsid w:val="001A50F2"/>
    <w:rsid w:val="001A5442"/>
    <w:rsid w:val="001A7B84"/>
    <w:rsid w:val="001C538F"/>
    <w:rsid w:val="001C583D"/>
    <w:rsid w:val="001D222C"/>
    <w:rsid w:val="001D4A3D"/>
    <w:rsid w:val="001E222C"/>
    <w:rsid w:val="001E2437"/>
    <w:rsid w:val="00203CD4"/>
    <w:rsid w:val="00203F94"/>
    <w:rsid w:val="002060B4"/>
    <w:rsid w:val="002142E4"/>
    <w:rsid w:val="0021519A"/>
    <w:rsid w:val="002221B8"/>
    <w:rsid w:val="002237BA"/>
    <w:rsid w:val="002342D3"/>
    <w:rsid w:val="00237870"/>
    <w:rsid w:val="002534C5"/>
    <w:rsid w:val="00253C7A"/>
    <w:rsid w:val="00260D2E"/>
    <w:rsid w:val="00262401"/>
    <w:rsid w:val="00270C8E"/>
    <w:rsid w:val="00271224"/>
    <w:rsid w:val="00274C66"/>
    <w:rsid w:val="002836F5"/>
    <w:rsid w:val="002837D9"/>
    <w:rsid w:val="00296222"/>
    <w:rsid w:val="002A6B9C"/>
    <w:rsid w:val="002B18C8"/>
    <w:rsid w:val="002B21FF"/>
    <w:rsid w:val="002B6DD7"/>
    <w:rsid w:val="002C2245"/>
    <w:rsid w:val="002C6176"/>
    <w:rsid w:val="002D11A3"/>
    <w:rsid w:val="002D2D43"/>
    <w:rsid w:val="002E27E5"/>
    <w:rsid w:val="002E6D5E"/>
    <w:rsid w:val="002F2741"/>
    <w:rsid w:val="003061F9"/>
    <w:rsid w:val="00310F34"/>
    <w:rsid w:val="003148FC"/>
    <w:rsid w:val="0032350A"/>
    <w:rsid w:val="003239FF"/>
    <w:rsid w:val="00324A4E"/>
    <w:rsid w:val="00324EAF"/>
    <w:rsid w:val="0032620E"/>
    <w:rsid w:val="00344E6C"/>
    <w:rsid w:val="00347180"/>
    <w:rsid w:val="00351A8A"/>
    <w:rsid w:val="003536DE"/>
    <w:rsid w:val="00356419"/>
    <w:rsid w:val="00373CBE"/>
    <w:rsid w:val="00375A0C"/>
    <w:rsid w:val="00385DEE"/>
    <w:rsid w:val="003A2267"/>
    <w:rsid w:val="003A3FE6"/>
    <w:rsid w:val="003A793E"/>
    <w:rsid w:val="003B4272"/>
    <w:rsid w:val="003B6882"/>
    <w:rsid w:val="003B784E"/>
    <w:rsid w:val="003C6F09"/>
    <w:rsid w:val="003D6F14"/>
    <w:rsid w:val="003E0896"/>
    <w:rsid w:val="003E7BA5"/>
    <w:rsid w:val="003F5320"/>
    <w:rsid w:val="003F7548"/>
    <w:rsid w:val="003F75A2"/>
    <w:rsid w:val="0040356E"/>
    <w:rsid w:val="00404492"/>
    <w:rsid w:val="004050A6"/>
    <w:rsid w:val="0040688C"/>
    <w:rsid w:val="00411E9F"/>
    <w:rsid w:val="0041449A"/>
    <w:rsid w:val="004206E1"/>
    <w:rsid w:val="00422230"/>
    <w:rsid w:val="00424BD7"/>
    <w:rsid w:val="00424F5D"/>
    <w:rsid w:val="00425016"/>
    <w:rsid w:val="0042561F"/>
    <w:rsid w:val="00431542"/>
    <w:rsid w:val="00432B67"/>
    <w:rsid w:val="00434184"/>
    <w:rsid w:val="004350F0"/>
    <w:rsid w:val="00437078"/>
    <w:rsid w:val="00441F96"/>
    <w:rsid w:val="00450D8C"/>
    <w:rsid w:val="00455FCE"/>
    <w:rsid w:val="0045782F"/>
    <w:rsid w:val="00467A7F"/>
    <w:rsid w:val="00471700"/>
    <w:rsid w:val="00490D06"/>
    <w:rsid w:val="004921C7"/>
    <w:rsid w:val="004A6E06"/>
    <w:rsid w:val="004B03CA"/>
    <w:rsid w:val="004B2BC6"/>
    <w:rsid w:val="004C73CE"/>
    <w:rsid w:val="004D51AD"/>
    <w:rsid w:val="004E1F9F"/>
    <w:rsid w:val="004E2807"/>
    <w:rsid w:val="004F5389"/>
    <w:rsid w:val="00500D3B"/>
    <w:rsid w:val="0051152D"/>
    <w:rsid w:val="00526D8E"/>
    <w:rsid w:val="0052772B"/>
    <w:rsid w:val="00532427"/>
    <w:rsid w:val="00533876"/>
    <w:rsid w:val="00540557"/>
    <w:rsid w:val="00554AFE"/>
    <w:rsid w:val="0056732D"/>
    <w:rsid w:val="00570C7A"/>
    <w:rsid w:val="00571D9D"/>
    <w:rsid w:val="0057222C"/>
    <w:rsid w:val="00572B0C"/>
    <w:rsid w:val="005730C3"/>
    <w:rsid w:val="00573869"/>
    <w:rsid w:val="00574846"/>
    <w:rsid w:val="00574EA5"/>
    <w:rsid w:val="005755B8"/>
    <w:rsid w:val="005764D4"/>
    <w:rsid w:val="005A59BF"/>
    <w:rsid w:val="005A72D1"/>
    <w:rsid w:val="005B3E92"/>
    <w:rsid w:val="005B557F"/>
    <w:rsid w:val="005B6D11"/>
    <w:rsid w:val="005D42F6"/>
    <w:rsid w:val="005D4C0D"/>
    <w:rsid w:val="005D4C51"/>
    <w:rsid w:val="005D59B8"/>
    <w:rsid w:val="005F407E"/>
    <w:rsid w:val="005F462C"/>
    <w:rsid w:val="006007C0"/>
    <w:rsid w:val="006112B5"/>
    <w:rsid w:val="00612B61"/>
    <w:rsid w:val="00616D2D"/>
    <w:rsid w:val="0062300F"/>
    <w:rsid w:val="00636D54"/>
    <w:rsid w:val="006437FE"/>
    <w:rsid w:val="006478FE"/>
    <w:rsid w:val="00657DBA"/>
    <w:rsid w:val="0066374B"/>
    <w:rsid w:val="0067244F"/>
    <w:rsid w:val="00672C68"/>
    <w:rsid w:val="00681F13"/>
    <w:rsid w:val="00683669"/>
    <w:rsid w:val="00687ADB"/>
    <w:rsid w:val="00692366"/>
    <w:rsid w:val="00697B60"/>
    <w:rsid w:val="006A1097"/>
    <w:rsid w:val="006A4863"/>
    <w:rsid w:val="006A49B7"/>
    <w:rsid w:val="006B0F33"/>
    <w:rsid w:val="006B7F7F"/>
    <w:rsid w:val="006C1833"/>
    <w:rsid w:val="006C4DD5"/>
    <w:rsid w:val="006C74E8"/>
    <w:rsid w:val="006C7F68"/>
    <w:rsid w:val="006D27B0"/>
    <w:rsid w:val="006E1AD6"/>
    <w:rsid w:val="006E34DC"/>
    <w:rsid w:val="006E351B"/>
    <w:rsid w:val="006E4F17"/>
    <w:rsid w:val="0071062D"/>
    <w:rsid w:val="00712786"/>
    <w:rsid w:val="007219D0"/>
    <w:rsid w:val="00731635"/>
    <w:rsid w:val="00733C63"/>
    <w:rsid w:val="007407AD"/>
    <w:rsid w:val="0075271D"/>
    <w:rsid w:val="007528B4"/>
    <w:rsid w:val="00757426"/>
    <w:rsid w:val="007615F1"/>
    <w:rsid w:val="00765AE5"/>
    <w:rsid w:val="00770A88"/>
    <w:rsid w:val="00770FE6"/>
    <w:rsid w:val="00776163"/>
    <w:rsid w:val="0078561D"/>
    <w:rsid w:val="0079073E"/>
    <w:rsid w:val="00793E00"/>
    <w:rsid w:val="00794297"/>
    <w:rsid w:val="0079498E"/>
    <w:rsid w:val="007964F8"/>
    <w:rsid w:val="00796E3E"/>
    <w:rsid w:val="007A19E4"/>
    <w:rsid w:val="007A3197"/>
    <w:rsid w:val="007A5ECC"/>
    <w:rsid w:val="007C3B48"/>
    <w:rsid w:val="007D00F0"/>
    <w:rsid w:val="007D0CF4"/>
    <w:rsid w:val="007D2E91"/>
    <w:rsid w:val="007D6D78"/>
    <w:rsid w:val="007E1E2C"/>
    <w:rsid w:val="007E3BE2"/>
    <w:rsid w:val="007E52C7"/>
    <w:rsid w:val="007F07F6"/>
    <w:rsid w:val="007F114E"/>
    <w:rsid w:val="007F5324"/>
    <w:rsid w:val="007F5457"/>
    <w:rsid w:val="00800C2C"/>
    <w:rsid w:val="00802CCC"/>
    <w:rsid w:val="008054BA"/>
    <w:rsid w:val="00805B54"/>
    <w:rsid w:val="00811479"/>
    <w:rsid w:val="00816818"/>
    <w:rsid w:val="00817E4A"/>
    <w:rsid w:val="008315EE"/>
    <w:rsid w:val="0084318E"/>
    <w:rsid w:val="00852565"/>
    <w:rsid w:val="008611E6"/>
    <w:rsid w:val="00863496"/>
    <w:rsid w:val="0087253F"/>
    <w:rsid w:val="00875489"/>
    <w:rsid w:val="00884906"/>
    <w:rsid w:val="008922E7"/>
    <w:rsid w:val="008A4288"/>
    <w:rsid w:val="008B53AB"/>
    <w:rsid w:val="008B6233"/>
    <w:rsid w:val="008B6DBE"/>
    <w:rsid w:val="008C15E1"/>
    <w:rsid w:val="008C44B3"/>
    <w:rsid w:val="008D2CE7"/>
    <w:rsid w:val="008D4F33"/>
    <w:rsid w:val="008D7738"/>
    <w:rsid w:val="008E360E"/>
    <w:rsid w:val="008E4683"/>
    <w:rsid w:val="008E7F7A"/>
    <w:rsid w:val="008F76B9"/>
    <w:rsid w:val="0090021C"/>
    <w:rsid w:val="00905486"/>
    <w:rsid w:val="00910C28"/>
    <w:rsid w:val="00915554"/>
    <w:rsid w:val="0091565F"/>
    <w:rsid w:val="00917DAE"/>
    <w:rsid w:val="009217AF"/>
    <w:rsid w:val="00927863"/>
    <w:rsid w:val="00927F99"/>
    <w:rsid w:val="00931025"/>
    <w:rsid w:val="00933592"/>
    <w:rsid w:val="009339EF"/>
    <w:rsid w:val="00943663"/>
    <w:rsid w:val="00951076"/>
    <w:rsid w:val="00952C6B"/>
    <w:rsid w:val="0095360E"/>
    <w:rsid w:val="00953876"/>
    <w:rsid w:val="0095610E"/>
    <w:rsid w:val="0095729B"/>
    <w:rsid w:val="00962AD8"/>
    <w:rsid w:val="00962E12"/>
    <w:rsid w:val="00963270"/>
    <w:rsid w:val="00963648"/>
    <w:rsid w:val="00977BD2"/>
    <w:rsid w:val="00980977"/>
    <w:rsid w:val="009827A7"/>
    <w:rsid w:val="00983C59"/>
    <w:rsid w:val="0098512F"/>
    <w:rsid w:val="00987705"/>
    <w:rsid w:val="00992B6A"/>
    <w:rsid w:val="00996DDF"/>
    <w:rsid w:val="00997B73"/>
    <w:rsid w:val="009A0790"/>
    <w:rsid w:val="009C0D2D"/>
    <w:rsid w:val="009C4AA0"/>
    <w:rsid w:val="009D22AA"/>
    <w:rsid w:val="009E3373"/>
    <w:rsid w:val="009F1CA2"/>
    <w:rsid w:val="009F42F8"/>
    <w:rsid w:val="009F7C5C"/>
    <w:rsid w:val="00A078ED"/>
    <w:rsid w:val="00A23C97"/>
    <w:rsid w:val="00A24706"/>
    <w:rsid w:val="00A322C1"/>
    <w:rsid w:val="00A341F5"/>
    <w:rsid w:val="00A351AE"/>
    <w:rsid w:val="00A42430"/>
    <w:rsid w:val="00A43E29"/>
    <w:rsid w:val="00A553BA"/>
    <w:rsid w:val="00A55771"/>
    <w:rsid w:val="00A56CBF"/>
    <w:rsid w:val="00A60D84"/>
    <w:rsid w:val="00A64718"/>
    <w:rsid w:val="00A70172"/>
    <w:rsid w:val="00A70D76"/>
    <w:rsid w:val="00A73FF2"/>
    <w:rsid w:val="00A774C5"/>
    <w:rsid w:val="00A93AA5"/>
    <w:rsid w:val="00A95934"/>
    <w:rsid w:val="00AA3259"/>
    <w:rsid w:val="00AC33CD"/>
    <w:rsid w:val="00AD2362"/>
    <w:rsid w:val="00AD39AF"/>
    <w:rsid w:val="00AD780D"/>
    <w:rsid w:val="00AD7D68"/>
    <w:rsid w:val="00AE2F98"/>
    <w:rsid w:val="00AE61C2"/>
    <w:rsid w:val="00AE76C9"/>
    <w:rsid w:val="00B024EA"/>
    <w:rsid w:val="00B03401"/>
    <w:rsid w:val="00B03DDD"/>
    <w:rsid w:val="00B11446"/>
    <w:rsid w:val="00B16606"/>
    <w:rsid w:val="00B24633"/>
    <w:rsid w:val="00B30A58"/>
    <w:rsid w:val="00B377A6"/>
    <w:rsid w:val="00B4060E"/>
    <w:rsid w:val="00B4570C"/>
    <w:rsid w:val="00B45F58"/>
    <w:rsid w:val="00B47B35"/>
    <w:rsid w:val="00B620E2"/>
    <w:rsid w:val="00B63E1E"/>
    <w:rsid w:val="00B7425B"/>
    <w:rsid w:val="00B81A86"/>
    <w:rsid w:val="00B8651B"/>
    <w:rsid w:val="00BA4913"/>
    <w:rsid w:val="00BA5020"/>
    <w:rsid w:val="00BA6187"/>
    <w:rsid w:val="00BB2B01"/>
    <w:rsid w:val="00BB47A6"/>
    <w:rsid w:val="00BC4357"/>
    <w:rsid w:val="00BD5549"/>
    <w:rsid w:val="00BE1856"/>
    <w:rsid w:val="00BF1BAF"/>
    <w:rsid w:val="00C017FE"/>
    <w:rsid w:val="00C01F27"/>
    <w:rsid w:val="00C02FD2"/>
    <w:rsid w:val="00C10664"/>
    <w:rsid w:val="00C1114F"/>
    <w:rsid w:val="00C14032"/>
    <w:rsid w:val="00C25B27"/>
    <w:rsid w:val="00C4057D"/>
    <w:rsid w:val="00C472CB"/>
    <w:rsid w:val="00C47A07"/>
    <w:rsid w:val="00C51931"/>
    <w:rsid w:val="00C64A8E"/>
    <w:rsid w:val="00C65116"/>
    <w:rsid w:val="00C721ED"/>
    <w:rsid w:val="00C739FD"/>
    <w:rsid w:val="00C73E89"/>
    <w:rsid w:val="00C748E8"/>
    <w:rsid w:val="00C77E10"/>
    <w:rsid w:val="00C81D9A"/>
    <w:rsid w:val="00C82D7A"/>
    <w:rsid w:val="00C868E2"/>
    <w:rsid w:val="00C94A04"/>
    <w:rsid w:val="00CA0E2F"/>
    <w:rsid w:val="00CA5D4E"/>
    <w:rsid w:val="00CA7142"/>
    <w:rsid w:val="00CA7FBF"/>
    <w:rsid w:val="00CB10B8"/>
    <w:rsid w:val="00CD489C"/>
    <w:rsid w:val="00CD657D"/>
    <w:rsid w:val="00CE4E71"/>
    <w:rsid w:val="00CE5862"/>
    <w:rsid w:val="00CF05DC"/>
    <w:rsid w:val="00CF08EE"/>
    <w:rsid w:val="00CF2389"/>
    <w:rsid w:val="00CF314E"/>
    <w:rsid w:val="00CF3DA6"/>
    <w:rsid w:val="00CF7C5F"/>
    <w:rsid w:val="00D2292E"/>
    <w:rsid w:val="00D30022"/>
    <w:rsid w:val="00D326BA"/>
    <w:rsid w:val="00D433C0"/>
    <w:rsid w:val="00D46673"/>
    <w:rsid w:val="00D471E6"/>
    <w:rsid w:val="00D5206F"/>
    <w:rsid w:val="00D53E60"/>
    <w:rsid w:val="00D5739B"/>
    <w:rsid w:val="00D578F1"/>
    <w:rsid w:val="00D6086B"/>
    <w:rsid w:val="00D62F8D"/>
    <w:rsid w:val="00D641E8"/>
    <w:rsid w:val="00D85FBC"/>
    <w:rsid w:val="00D93E08"/>
    <w:rsid w:val="00DB6EA0"/>
    <w:rsid w:val="00DC5228"/>
    <w:rsid w:val="00DD0015"/>
    <w:rsid w:val="00DD1620"/>
    <w:rsid w:val="00DD2D85"/>
    <w:rsid w:val="00DD69BE"/>
    <w:rsid w:val="00DE0971"/>
    <w:rsid w:val="00DE1D66"/>
    <w:rsid w:val="00DE43B5"/>
    <w:rsid w:val="00DE48F8"/>
    <w:rsid w:val="00DE660E"/>
    <w:rsid w:val="00E02C5D"/>
    <w:rsid w:val="00E055BD"/>
    <w:rsid w:val="00E07900"/>
    <w:rsid w:val="00E11192"/>
    <w:rsid w:val="00E2083C"/>
    <w:rsid w:val="00E20A81"/>
    <w:rsid w:val="00E34D00"/>
    <w:rsid w:val="00E4098B"/>
    <w:rsid w:val="00E410E0"/>
    <w:rsid w:val="00E41274"/>
    <w:rsid w:val="00E42B0B"/>
    <w:rsid w:val="00E43856"/>
    <w:rsid w:val="00E54575"/>
    <w:rsid w:val="00E55926"/>
    <w:rsid w:val="00E61A19"/>
    <w:rsid w:val="00E64241"/>
    <w:rsid w:val="00E67E24"/>
    <w:rsid w:val="00E740DF"/>
    <w:rsid w:val="00E7476A"/>
    <w:rsid w:val="00E77DCD"/>
    <w:rsid w:val="00E8156E"/>
    <w:rsid w:val="00E82058"/>
    <w:rsid w:val="00E82FAC"/>
    <w:rsid w:val="00E86E11"/>
    <w:rsid w:val="00E87158"/>
    <w:rsid w:val="00EA05F8"/>
    <w:rsid w:val="00EA242A"/>
    <w:rsid w:val="00EA3A33"/>
    <w:rsid w:val="00EB273F"/>
    <w:rsid w:val="00EB76B0"/>
    <w:rsid w:val="00EC4C5F"/>
    <w:rsid w:val="00ED430A"/>
    <w:rsid w:val="00EE0D64"/>
    <w:rsid w:val="00EE134A"/>
    <w:rsid w:val="00EE167B"/>
    <w:rsid w:val="00EE32A0"/>
    <w:rsid w:val="00EF1938"/>
    <w:rsid w:val="00EF3170"/>
    <w:rsid w:val="00EF7003"/>
    <w:rsid w:val="00F0214F"/>
    <w:rsid w:val="00F10B56"/>
    <w:rsid w:val="00F11EB8"/>
    <w:rsid w:val="00F1204C"/>
    <w:rsid w:val="00F21873"/>
    <w:rsid w:val="00F322E1"/>
    <w:rsid w:val="00F32859"/>
    <w:rsid w:val="00F372C1"/>
    <w:rsid w:val="00F4405D"/>
    <w:rsid w:val="00F474E5"/>
    <w:rsid w:val="00F50346"/>
    <w:rsid w:val="00F50DCB"/>
    <w:rsid w:val="00F67C16"/>
    <w:rsid w:val="00F83B43"/>
    <w:rsid w:val="00F85017"/>
    <w:rsid w:val="00F85BFC"/>
    <w:rsid w:val="00F92D43"/>
    <w:rsid w:val="00F93F27"/>
    <w:rsid w:val="00F97195"/>
    <w:rsid w:val="00FA3CE9"/>
    <w:rsid w:val="00FA402F"/>
    <w:rsid w:val="00FA5130"/>
    <w:rsid w:val="00FA77A4"/>
    <w:rsid w:val="00FB1C72"/>
    <w:rsid w:val="00FB31D8"/>
    <w:rsid w:val="00FB6810"/>
    <w:rsid w:val="00FC227D"/>
    <w:rsid w:val="00FC3463"/>
    <w:rsid w:val="00FC417D"/>
    <w:rsid w:val="00FC4967"/>
    <w:rsid w:val="00FC61E5"/>
    <w:rsid w:val="00FD5665"/>
    <w:rsid w:val="00FF0EA5"/>
    <w:rsid w:val="00FF3489"/>
    <w:rsid w:val="00FF3765"/>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3014D7"/>
  <w15:docId w15:val="{F8A9222B-E98A-4928-A24C-5456616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65"/>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i/>
      <w:sz w:val="28"/>
      <w:szCs w:val="20"/>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2F2741"/>
    <w:pPr>
      <w:numPr>
        <w:ilvl w:val="3"/>
        <w:numId w:val="6"/>
      </w:numPr>
      <w:tabs>
        <w:tab w:val="num" w:pos="720"/>
      </w:tabs>
      <w:ind w:left="720" w:right="1080"/>
      <w:outlineLvl w:val="3"/>
    </w:pPr>
    <w:rPr>
      <w:rFonts w:ascii="Calibri" w:hAnsi="Calibri"/>
      <w:b/>
      <w:color w:val="003366"/>
      <w:sz w:val="36"/>
      <w:szCs w:val="20"/>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sz w:val="26"/>
      <w:szCs w:val="20"/>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sz w:val="20"/>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7F114E"/>
    <w:rPr>
      <w:rFonts w:ascii="Cambria" w:hAnsi="Cambria"/>
      <w:b/>
      <w:i/>
      <w:sz w:val="28"/>
      <w:lang w:eastAsia="ja-JP"/>
    </w:rPr>
  </w:style>
  <w:style w:type="character" w:customStyle="1" w:styleId="Heading3Char">
    <w:name w:val="Heading 3 Char"/>
    <w:basedOn w:val="DefaultParagraphFont"/>
    <w:link w:val="Heading3"/>
    <w:uiPriority w:val="99"/>
    <w:locked/>
    <w:rsid w:val="001E222C"/>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semiHidden/>
    <w:locked/>
    <w:rsid w:val="002F2741"/>
    <w:rPr>
      <w:rFonts w:ascii="Calibri" w:eastAsia="MS Mincho" w:hAnsi="Calibri"/>
      <w:b/>
      <w:color w:val="003366"/>
      <w:sz w:val="36"/>
      <w:lang w:val="en-US" w:eastAsia="ja-JP"/>
    </w:rPr>
  </w:style>
  <w:style w:type="character" w:customStyle="1" w:styleId="Heading5Char">
    <w:name w:val="Heading 5 Char"/>
    <w:basedOn w:val="DefaultParagraphFont"/>
    <w:link w:val="Heading5"/>
    <w:uiPriority w:val="99"/>
    <w:semiHidden/>
    <w:locked/>
    <w:rsid w:val="007F114E"/>
    <w:rPr>
      <w:rFonts w:ascii="Calibri" w:hAnsi="Calibri"/>
      <w:b/>
      <w:i/>
      <w:sz w:val="26"/>
      <w:lang w:eastAsia="ja-JP"/>
    </w:rPr>
  </w:style>
  <w:style w:type="character" w:customStyle="1" w:styleId="Heading6Char">
    <w:name w:val="Heading 6 Char"/>
    <w:basedOn w:val="DefaultParagraphFont"/>
    <w:link w:val="Heading6"/>
    <w:uiPriority w:val="99"/>
    <w:semiHidden/>
    <w:locked/>
    <w:rsid w:val="007F114E"/>
    <w:rPr>
      <w:rFonts w:ascii="Calibri" w:hAnsi="Calibri"/>
      <w:b/>
      <w:lang w:eastAsia="ja-JP"/>
    </w:rPr>
  </w:style>
  <w:style w:type="character" w:customStyle="1" w:styleId="Heading7Char">
    <w:name w:val="Heading 7 Char"/>
    <w:basedOn w:val="DefaultParagraphFont"/>
    <w:link w:val="Heading7"/>
    <w:uiPriority w:val="99"/>
    <w:semiHidden/>
    <w:locked/>
    <w:rsid w:val="007F114E"/>
    <w:rPr>
      <w:rFonts w:ascii="Calibri" w:hAnsi="Calibri"/>
      <w:sz w:val="24"/>
      <w:lang w:eastAsia="ja-JP"/>
    </w:rPr>
  </w:style>
  <w:style w:type="character" w:customStyle="1" w:styleId="Heading8Char">
    <w:name w:val="Heading 8 Char"/>
    <w:basedOn w:val="DefaultParagraphFont"/>
    <w:link w:val="Heading8"/>
    <w:uiPriority w:val="99"/>
    <w:semiHidden/>
    <w:locked/>
    <w:rsid w:val="007F114E"/>
    <w:rPr>
      <w:rFonts w:ascii="Calibri" w:hAnsi="Calibri"/>
      <w:i/>
      <w:sz w:val="24"/>
      <w:lang w:eastAsia="ja-JP"/>
    </w:rPr>
  </w:style>
  <w:style w:type="character" w:customStyle="1" w:styleId="Heading9Char">
    <w:name w:val="Heading 9 Char"/>
    <w:basedOn w:val="DefaultParagraphFont"/>
    <w:link w:val="Heading9"/>
    <w:uiPriority w:val="99"/>
    <w:semiHidden/>
    <w:locked/>
    <w:rsid w:val="007F114E"/>
    <w:rPr>
      <w:rFonts w:ascii="Cambria" w:hAnsi="Cambria"/>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next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1"/>
    <w:uiPriority w:val="99"/>
    <w:rsid w:val="004350F0"/>
    <w:rPr>
      <w:lang w:val="en-US"/>
    </w:rPr>
  </w:style>
  <w:style w:type="character" w:customStyle="1" w:styleId="FooterChar">
    <w:name w:val="Footer Char"/>
    <w:basedOn w:val="DefaultParagraphFont"/>
    <w:uiPriority w:val="99"/>
    <w:semiHidden/>
    <w:locked/>
    <w:rsid w:val="00FA77A4"/>
    <w:rPr>
      <w:rFonts w:ascii="Calibri" w:eastAsia="MS Mincho" w:hAnsi="Calibri"/>
      <w:sz w:val="18"/>
      <w:lang w:val="en-US" w:eastAsia="ja-JP"/>
    </w:rPr>
  </w:style>
  <w:style w:type="character" w:customStyle="1" w:styleId="FooterChar1">
    <w:name w:val="Footer Char1"/>
    <w:link w:val="Footer"/>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1"/>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31542"/>
    <w:rPr>
      <w:sz w:val="20"/>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Cs w:val="20"/>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7F114E"/>
    <w:rPr>
      <w:sz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basedOn w:val="DefaultParagraphFont"/>
    <w:link w:val="BalloonText"/>
    <w:uiPriority w:val="99"/>
    <w:semiHidden/>
    <w:locked/>
    <w:rsid w:val="007F114E"/>
    <w:rPr>
      <w:sz w:val="2"/>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szCs w:val="20"/>
    </w:rPr>
  </w:style>
  <w:style w:type="character" w:customStyle="1" w:styleId="BodyTextChar">
    <w:name w:val="Body Text Char"/>
    <w:basedOn w:val="DefaultParagraphFont"/>
    <w:link w:val="BodyText"/>
    <w:uiPriority w:val="99"/>
    <w:semiHidden/>
    <w:locked/>
    <w:rsid w:val="007F114E"/>
    <w:rPr>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1">
    <w:name w:val="Footnote Text Char1"/>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FC3463"/>
    <w:pPr>
      <w:spacing w:after="160" w:line="256" w:lineRule="auto"/>
      <w:ind w:left="720"/>
      <w:contextualSpacing/>
    </w:pPr>
    <w:rPr>
      <w:rFonts w:ascii="Calibri" w:hAnsi="Calibri"/>
      <w:sz w:val="20"/>
      <w:szCs w:val="20"/>
      <w:lang w:val="en-CA" w:eastAsia="en-US"/>
    </w:rPr>
  </w:style>
  <w:style w:type="paragraph" w:styleId="CommentSubject">
    <w:name w:val="annotation subject"/>
    <w:basedOn w:val="CommentText"/>
    <w:next w:val="CommentText"/>
    <w:link w:val="CommentSubjectChar"/>
    <w:uiPriority w:val="99"/>
    <w:semiHidden/>
    <w:rsid w:val="0084318E"/>
    <w:rPr>
      <w:b/>
      <w:lang w:eastAsia="ja-JP"/>
    </w:rPr>
  </w:style>
  <w:style w:type="character" w:customStyle="1" w:styleId="CommentSubjectChar">
    <w:name w:val="Comment Subject Char"/>
    <w:basedOn w:val="CommentTextChar"/>
    <w:link w:val="CommentSubject"/>
    <w:uiPriority w:val="99"/>
    <w:semiHidden/>
    <w:locked/>
    <w:rsid w:val="0084318E"/>
    <w:rPr>
      <w:b/>
      <w:sz w:val="20"/>
      <w:lang w:val="en-CA" w:eastAsia="ja-JP"/>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BA6187"/>
    <w:rPr>
      <w:rFonts w:ascii="Calibri" w:hAnsi="Calibri"/>
      <w:lang w:val="en-CA"/>
    </w:rPr>
  </w:style>
  <w:style w:type="table" w:customStyle="1" w:styleId="TableGrid">
    <w:name w:val="TableGrid"/>
    <w:uiPriority w:val="99"/>
    <w:rsid w:val="00EE134A"/>
    <w:rPr>
      <w:rFonts w:ascii="Calibri" w:hAnsi="Calibri"/>
      <w:lang w:val="en-CA" w:eastAsia="en-CA"/>
    </w:rPr>
    <w:tblPr>
      <w:tblCellMar>
        <w:top w:w="0" w:type="dxa"/>
        <w:left w:w="0" w:type="dxa"/>
        <w:bottom w:w="0" w:type="dxa"/>
        <w:right w:w="0" w:type="dxa"/>
      </w:tblCellMar>
    </w:tblPr>
  </w:style>
  <w:style w:type="paragraph" w:customStyle="1" w:styleId="Question">
    <w:name w:val="Question"/>
    <w:uiPriority w:val="99"/>
    <w:rsid w:val="0052772B"/>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1119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Condition">
    <w:name w:val="Condition"/>
    <w:uiPriority w:val="99"/>
    <w:rsid w:val="0052772B"/>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uiPriority w:val="99"/>
    <w:rsid w:val="0052772B"/>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52772B"/>
    <w:pPr>
      <w:widowControl w:val="0"/>
      <w:autoSpaceDE w:val="0"/>
      <w:autoSpaceDN w:val="0"/>
      <w:adjustRightInd w:val="0"/>
    </w:pPr>
    <w:rPr>
      <w:sz w:val="24"/>
      <w:szCs w:val="24"/>
    </w:rPr>
  </w:style>
  <w:style w:type="paragraph" w:customStyle="1" w:styleId="Note">
    <w:name w:val="Note"/>
    <w:uiPriority w:val="99"/>
    <w:rsid w:val="0052772B"/>
    <w:pPr>
      <w:widowControl w:val="0"/>
      <w:autoSpaceDE w:val="0"/>
      <w:autoSpaceDN w:val="0"/>
      <w:adjustRightInd w:val="0"/>
    </w:pPr>
    <w:rPr>
      <w:sz w:val="20"/>
      <w:szCs w:val="24"/>
    </w:rPr>
  </w:style>
  <w:style w:type="paragraph" w:customStyle="1" w:styleId="Comm">
    <w:name w:val="Comm"/>
    <w:uiPriority w:val="99"/>
    <w:rsid w:val="0052772B"/>
    <w:pPr>
      <w:widowControl w:val="0"/>
      <w:autoSpaceDE w:val="0"/>
      <w:autoSpaceDN w:val="0"/>
      <w:adjustRightInd w:val="0"/>
    </w:pPr>
    <w:rPr>
      <w:rFonts w:ascii="Tms Rmn" w:hAnsi="Tms Rmn"/>
      <w:b/>
      <w:bCs/>
      <w:i/>
      <w:iCs/>
      <w:color w:val="993300"/>
      <w:lang w:val="en-CA"/>
    </w:rPr>
  </w:style>
  <w:style w:type="paragraph" w:customStyle="1" w:styleId="ReportSubtitle">
    <w:name w:val="Report Subtitle"/>
    <w:basedOn w:val="Normal"/>
    <w:uiPriority w:val="99"/>
    <w:rsid w:val="0052772B"/>
    <w:pPr>
      <w:tabs>
        <w:tab w:val="left" w:pos="1584"/>
        <w:tab w:val="left" w:pos="1800"/>
        <w:tab w:val="left" w:pos="2340"/>
      </w:tabs>
      <w:spacing w:after="80" w:line="276" w:lineRule="auto"/>
      <w:ind w:left="720" w:right="720"/>
      <w:jc w:val="center"/>
    </w:pPr>
    <w:rPr>
      <w:rFonts w:ascii="Arial Narrow" w:hAnsi="Arial Narrow"/>
      <w:b/>
      <w:caps/>
      <w:color w:val="125A90"/>
      <w:sz w:val="36"/>
      <w:lang w:val="en-CA" w:eastAsia="en-US"/>
    </w:rPr>
  </w:style>
  <w:style w:type="paragraph" w:customStyle="1" w:styleId="Body-guide">
    <w:name w:val="Body-guide"/>
    <w:uiPriority w:val="99"/>
    <w:rsid w:val="0052772B"/>
    <w:pPr>
      <w:numPr>
        <w:numId w:val="16"/>
      </w:numPr>
      <w:tabs>
        <w:tab w:val="left" w:pos="360"/>
      </w:tabs>
    </w:pPr>
    <w:rPr>
      <w:rFonts w:ascii="Arial Narrow" w:hAnsi="Arial Narrow"/>
      <w:sz w:val="24"/>
      <w:szCs w:val="24"/>
    </w:rPr>
  </w:style>
  <w:style w:type="paragraph" w:styleId="Revision">
    <w:name w:val="Revision"/>
    <w:hidden/>
    <w:uiPriority w:val="99"/>
    <w:semiHidden/>
    <w:rsid w:val="00905486"/>
    <w:rPr>
      <w:sz w:val="24"/>
      <w:szCs w:val="24"/>
      <w:lang w:eastAsia="ja-JP"/>
    </w:rPr>
  </w:style>
  <w:style w:type="character" w:styleId="Emphasis">
    <w:name w:val="Emphasis"/>
    <w:basedOn w:val="DefaultParagraphFont"/>
    <w:uiPriority w:val="99"/>
    <w:qFormat/>
    <w:locked/>
    <w:rsid w:val="004206E1"/>
    <w:rPr>
      <w:rFonts w:cs="Times New Roman"/>
      <w:i/>
    </w:rPr>
  </w:style>
  <w:style w:type="paragraph" w:styleId="Title">
    <w:name w:val="Title"/>
    <w:basedOn w:val="Normal"/>
    <w:next w:val="Normal"/>
    <w:link w:val="TitleChar"/>
    <w:uiPriority w:val="99"/>
    <w:qFormat/>
    <w:locked/>
    <w:rsid w:val="004206E1"/>
    <w:pPr>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4206E1"/>
    <w:rPr>
      <w:rFonts w:ascii="Cambria" w:hAnsi="Cambria"/>
      <w:spacing w:val="-10"/>
      <w:kern w:val="28"/>
      <w:sz w:val="56"/>
      <w:lang w:eastAsia="ja-JP"/>
    </w:rPr>
  </w:style>
  <w:style w:type="paragraph" w:customStyle="1" w:styleId="Default">
    <w:name w:val="Default"/>
    <w:uiPriority w:val="99"/>
    <w:rsid w:val="00270C8E"/>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rsid w:val="00270C8E"/>
    <w:rPr>
      <w:rFonts w:cs="Times New Roman"/>
      <w:color w:val="800080"/>
      <w:u w:val="single"/>
    </w:rPr>
  </w:style>
  <w:style w:type="table" w:styleId="TableGrid0">
    <w:name w:val="Table Grid"/>
    <w:basedOn w:val="TableNormal"/>
    <w:uiPriority w:val="99"/>
    <w:locked/>
    <w:rsid w:val="009002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41549">
      <w:marLeft w:val="0"/>
      <w:marRight w:val="0"/>
      <w:marTop w:val="0"/>
      <w:marBottom w:val="0"/>
      <w:divBdr>
        <w:top w:val="none" w:sz="0" w:space="0" w:color="auto"/>
        <w:left w:val="none" w:sz="0" w:space="0" w:color="auto"/>
        <w:bottom w:val="none" w:sz="0" w:space="0" w:color="auto"/>
        <w:right w:val="none" w:sz="0" w:space="0" w:color="auto"/>
      </w:divBdr>
    </w:div>
    <w:div w:id="1102841550">
      <w:marLeft w:val="0"/>
      <w:marRight w:val="0"/>
      <w:marTop w:val="0"/>
      <w:marBottom w:val="0"/>
      <w:divBdr>
        <w:top w:val="none" w:sz="0" w:space="0" w:color="auto"/>
        <w:left w:val="none" w:sz="0" w:space="0" w:color="auto"/>
        <w:bottom w:val="none" w:sz="0" w:space="0" w:color="auto"/>
        <w:right w:val="none" w:sz="0" w:space="0" w:color="auto"/>
      </w:divBdr>
      <w:divsChild>
        <w:div w:id="1102841551">
          <w:marLeft w:val="0"/>
          <w:marRight w:val="0"/>
          <w:marTop w:val="0"/>
          <w:marBottom w:val="0"/>
          <w:divBdr>
            <w:top w:val="none" w:sz="0" w:space="0" w:color="auto"/>
            <w:left w:val="none" w:sz="0" w:space="0" w:color="auto"/>
            <w:bottom w:val="none" w:sz="0" w:space="0" w:color="auto"/>
            <w:right w:val="none" w:sz="0" w:space="0" w:color="auto"/>
          </w:divBdr>
        </w:div>
      </w:divsChild>
    </w:div>
    <w:div w:id="1102841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12644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081-20</vt:lpstr>
    </vt:vector>
  </TitlesOfParts>
  <Company>Local</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081-20</dc:title>
  <dc:subject/>
  <dc:creator>User</dc:creator>
  <cp:keywords/>
  <dc:description/>
  <cp:lastModifiedBy>Susan Galley</cp:lastModifiedBy>
  <cp:revision>2</cp:revision>
  <dcterms:created xsi:type="dcterms:W3CDTF">2021-03-10T17:27:00Z</dcterms:created>
  <dcterms:modified xsi:type="dcterms:W3CDTF">2021-03-10T17:27:00Z</dcterms:modified>
</cp:coreProperties>
</file>