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w:b/>
          <w:bCs/>
          <w:lang w:val="en-CA"/>
        </w:rPr>
        <w:id w:val="1416743415"/>
        <w:docPartObj>
          <w:docPartGallery w:val="Cover Pages"/>
          <w:docPartUnique/>
        </w:docPartObj>
      </w:sdtPr>
      <w:sdtEndPr/>
      <w:sdtContent>
        <w:p w14:paraId="3F23B206" w14:textId="3D098DEF" w:rsidR="009D4F1D" w:rsidRPr="003C06E0" w:rsidRDefault="009D4F1D" w:rsidP="003C06E0">
          <w:pPr>
            <w:tabs>
              <w:tab w:val="left" w:pos="4005"/>
            </w:tabs>
            <w:rPr>
              <w:rFonts w:cs="Calibri"/>
              <w:b/>
              <w:bCs/>
              <w:lang w:val="en-CA"/>
            </w:rPr>
          </w:pPr>
        </w:p>
        <w:p w14:paraId="5C947FF5" w14:textId="0413B426" w:rsidR="008F5A98" w:rsidRPr="003C06E0" w:rsidRDefault="008F5A98" w:rsidP="003C06E0">
          <w:pPr>
            <w:pStyle w:val="Heading1"/>
          </w:pPr>
          <w:r w:rsidRPr="003C06E0">
            <w:t>Évaluation du rappel de la publicité de recrutement : campagne</w:t>
          </w:r>
          <w:r w:rsidR="00B76BD0" w:rsidRPr="003C06E0">
            <w:t>s</w:t>
          </w:r>
          <w:r w:rsidRPr="003C06E0">
            <w:t xml:space="preserve"> 202</w:t>
          </w:r>
          <w:r w:rsidR="00B76BD0" w:rsidRPr="003C06E0">
            <w:t>2</w:t>
          </w:r>
          <w:r w:rsidRPr="003C06E0">
            <w:t>-202</w:t>
          </w:r>
          <w:r w:rsidR="00B76BD0" w:rsidRPr="003C06E0">
            <w:t>3</w:t>
          </w:r>
          <w:r w:rsidRPr="003C06E0">
            <w:t xml:space="preserve"> </w:t>
          </w:r>
        </w:p>
        <w:p w14:paraId="1DC2D035" w14:textId="77777777" w:rsidR="00E27503" w:rsidRPr="003C06E0" w:rsidRDefault="00E27503" w:rsidP="00F10F0C">
          <w:pPr>
            <w:tabs>
              <w:tab w:val="left" w:pos="4005"/>
            </w:tabs>
            <w:rPr>
              <w:rFonts w:cs="Calibri"/>
              <w:b/>
              <w:bCs/>
              <w:lang w:val="en-CA"/>
            </w:rPr>
          </w:pPr>
        </w:p>
        <w:p w14:paraId="4D84D639" w14:textId="11B74FA1" w:rsidR="008F5A98" w:rsidRPr="003C06E0" w:rsidRDefault="00434A0D" w:rsidP="003C06E0">
          <w:pPr>
            <w:tabs>
              <w:tab w:val="left" w:pos="4005"/>
            </w:tabs>
            <w:rPr>
              <w:rFonts w:cs="Calibri"/>
              <w:b/>
              <w:bCs/>
              <w:sz w:val="36"/>
              <w:szCs w:val="36"/>
              <w:lang w:val="en-CA"/>
            </w:rPr>
          </w:pPr>
          <w:r w:rsidRPr="003C06E0">
            <w:rPr>
              <w:rFonts w:cs="Calibri"/>
              <w:b/>
              <w:bCs/>
              <w:sz w:val="36"/>
              <w:szCs w:val="36"/>
              <w:lang w:val="en-CA"/>
            </w:rPr>
            <w:t xml:space="preserve">Sommaire </w:t>
          </w:r>
        </w:p>
        <w:p w14:paraId="0FFD0247" w14:textId="77777777" w:rsidR="00B70C7D" w:rsidRPr="003C06E0" w:rsidRDefault="00B70C7D" w:rsidP="00F10F0C">
          <w:pPr>
            <w:tabs>
              <w:tab w:val="left" w:pos="4005"/>
            </w:tabs>
            <w:rPr>
              <w:rFonts w:cs="Calibri"/>
              <w:b/>
              <w:bCs/>
              <w:lang w:val="en-CA"/>
            </w:rPr>
          </w:pPr>
        </w:p>
        <w:p w14:paraId="50B82FB0" w14:textId="77777777" w:rsidR="008F5A98" w:rsidRPr="003C06E0" w:rsidRDefault="008F5A98" w:rsidP="003C06E0">
          <w:pPr>
            <w:tabs>
              <w:tab w:val="left" w:pos="4005"/>
            </w:tabs>
            <w:rPr>
              <w:rFonts w:cs="Calibri"/>
              <w:b/>
              <w:bCs/>
              <w:sz w:val="28"/>
              <w:szCs w:val="28"/>
              <w:lang w:val="en-CA"/>
            </w:rPr>
          </w:pPr>
          <w:proofErr w:type="spellStart"/>
          <w:r w:rsidRPr="003C06E0">
            <w:rPr>
              <w:rFonts w:cs="Calibri"/>
              <w:b/>
              <w:bCs/>
              <w:sz w:val="28"/>
              <w:szCs w:val="28"/>
              <w:lang w:val="en-CA"/>
            </w:rPr>
            <w:t>Présenté</w:t>
          </w:r>
          <w:proofErr w:type="spellEnd"/>
          <w:r w:rsidRPr="003C06E0">
            <w:rPr>
              <w:rFonts w:cs="Calibri"/>
              <w:b/>
              <w:bCs/>
              <w:sz w:val="28"/>
              <w:szCs w:val="28"/>
              <w:lang w:val="en-CA"/>
            </w:rPr>
            <w:t xml:space="preserve"> </w:t>
          </w:r>
          <w:proofErr w:type="gramStart"/>
          <w:r w:rsidRPr="003C06E0">
            <w:rPr>
              <w:rFonts w:cs="Calibri"/>
              <w:b/>
              <w:bCs/>
              <w:sz w:val="28"/>
              <w:szCs w:val="28"/>
              <w:lang w:val="en-CA"/>
            </w:rPr>
            <w:t>au :</w:t>
          </w:r>
          <w:proofErr w:type="gramEnd"/>
        </w:p>
        <w:p w14:paraId="450A4090" w14:textId="0D7C2DA3" w:rsidR="008F5A98"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Ministère de la Défense nationale </w:t>
          </w:r>
        </w:p>
        <w:p w14:paraId="355BB50C" w14:textId="6FEF86E0" w:rsidR="008F5A98"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Pour de plus amples renseignements </w:t>
          </w:r>
        </w:p>
        <w:p w14:paraId="28340832" w14:textId="1AC516CD" w:rsidR="00E27503"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sur le présent rapport, envoyer un courriel </w:t>
          </w:r>
          <w:proofErr w:type="gramStart"/>
          <w:r w:rsidRPr="003C06E0">
            <w:rPr>
              <w:rFonts w:cs="Calibri"/>
              <w:b/>
              <w:bCs/>
              <w:sz w:val="28"/>
              <w:szCs w:val="28"/>
              <w:lang w:val="en-CA"/>
            </w:rPr>
            <w:t>à :</w:t>
          </w:r>
          <w:proofErr w:type="gramEnd"/>
          <w:r w:rsidRPr="003C06E0">
            <w:rPr>
              <w:rFonts w:cs="Calibri"/>
              <w:b/>
              <w:bCs/>
              <w:sz w:val="28"/>
              <w:szCs w:val="28"/>
              <w:lang w:val="en-CA"/>
            </w:rPr>
            <w:t xml:space="preserve"> </w:t>
          </w:r>
          <w:hyperlink r:id="rId8" w:history="1">
            <w:r w:rsidRPr="003C06E0">
              <w:rPr>
                <w:sz w:val="28"/>
                <w:szCs w:val="28"/>
                <w:lang w:val="en-CA"/>
              </w:rPr>
              <w:t>POR-ROP@forces.gc.ca</w:t>
            </w:r>
          </w:hyperlink>
        </w:p>
        <w:p w14:paraId="3F760874" w14:textId="77777777" w:rsidR="008F5A98" w:rsidRPr="003C06E0" w:rsidRDefault="008F5A98" w:rsidP="003C06E0">
          <w:pPr>
            <w:tabs>
              <w:tab w:val="left" w:pos="4005"/>
            </w:tabs>
            <w:rPr>
              <w:rFonts w:cs="Calibri"/>
              <w:b/>
              <w:bCs/>
              <w:sz w:val="28"/>
              <w:szCs w:val="28"/>
              <w:lang w:val="en-CA"/>
            </w:rPr>
          </w:pPr>
        </w:p>
        <w:p w14:paraId="7651659A" w14:textId="77777777" w:rsidR="008F5A98" w:rsidRPr="003C06E0" w:rsidRDefault="008F5A98" w:rsidP="003C06E0">
          <w:pPr>
            <w:tabs>
              <w:tab w:val="left" w:pos="4005"/>
            </w:tabs>
            <w:rPr>
              <w:rFonts w:cs="Calibri"/>
              <w:b/>
              <w:bCs/>
              <w:sz w:val="28"/>
              <w:szCs w:val="28"/>
              <w:lang w:val="en-CA"/>
            </w:rPr>
          </w:pPr>
          <w:r w:rsidRPr="003C06E0">
            <w:rPr>
              <w:rFonts w:cs="Calibri"/>
              <w:b/>
              <w:bCs/>
              <w:sz w:val="28"/>
              <w:szCs w:val="28"/>
              <w:lang w:val="en-CA"/>
            </w:rPr>
            <w:t>Présenté par :</w:t>
          </w:r>
        </w:p>
        <w:p w14:paraId="023A65B7" w14:textId="77777777" w:rsidR="0037416B" w:rsidRPr="003C06E0" w:rsidRDefault="0037416B" w:rsidP="003C06E0">
          <w:pPr>
            <w:tabs>
              <w:tab w:val="left" w:pos="4005"/>
            </w:tabs>
            <w:rPr>
              <w:rFonts w:cs="Calibri"/>
              <w:b/>
              <w:bCs/>
              <w:sz w:val="28"/>
              <w:szCs w:val="28"/>
              <w:lang w:val="en-CA"/>
            </w:rPr>
          </w:pPr>
        </w:p>
        <w:p w14:paraId="6C3131EA" w14:textId="10AB15C3" w:rsidR="00E27503"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Nom du </w:t>
          </w:r>
          <w:proofErr w:type="gramStart"/>
          <w:r w:rsidRPr="003C06E0">
            <w:rPr>
              <w:rFonts w:cs="Calibri"/>
              <w:b/>
              <w:bCs/>
              <w:sz w:val="28"/>
              <w:szCs w:val="28"/>
              <w:lang w:val="en-CA"/>
            </w:rPr>
            <w:t>fournisseur :</w:t>
          </w:r>
          <w:proofErr w:type="gramEnd"/>
          <w:r w:rsidRPr="003C06E0">
            <w:rPr>
              <w:rFonts w:cs="Calibri"/>
              <w:b/>
              <w:bCs/>
              <w:sz w:val="28"/>
              <w:szCs w:val="28"/>
              <w:lang w:val="en-CA"/>
            </w:rPr>
            <w:t xml:space="preserve"> </w:t>
          </w:r>
          <w:r w:rsidR="00E27503" w:rsidRPr="00F72D53">
            <w:rPr>
              <w:rFonts w:cs="Calibri"/>
              <w:sz w:val="28"/>
              <w:szCs w:val="28"/>
              <w:lang w:val="en-CA"/>
            </w:rPr>
            <w:t>Narrative Research</w:t>
          </w:r>
        </w:p>
        <w:p w14:paraId="0F8EA21E" w14:textId="6DEE0C5F" w:rsidR="00900DAC"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Adresse du </w:t>
          </w:r>
          <w:proofErr w:type="gramStart"/>
          <w:r w:rsidRPr="003C06E0">
            <w:rPr>
              <w:rFonts w:cs="Calibri"/>
              <w:b/>
              <w:bCs/>
              <w:sz w:val="28"/>
              <w:szCs w:val="28"/>
              <w:lang w:val="en-CA"/>
            </w:rPr>
            <w:t>fournisseur :</w:t>
          </w:r>
          <w:proofErr w:type="gramEnd"/>
          <w:r w:rsidR="00900DAC" w:rsidRPr="003C06E0">
            <w:rPr>
              <w:rFonts w:cs="Calibri"/>
              <w:b/>
              <w:bCs/>
              <w:sz w:val="28"/>
              <w:szCs w:val="28"/>
              <w:lang w:val="en-CA"/>
            </w:rPr>
            <w:t xml:space="preserve"> </w:t>
          </w:r>
          <w:r w:rsidR="00900DAC" w:rsidRPr="00F72D53">
            <w:rPr>
              <w:rFonts w:cs="Calibri"/>
              <w:sz w:val="28"/>
              <w:szCs w:val="28"/>
              <w:lang w:val="en-CA"/>
            </w:rPr>
            <w:t>5001-7071 rue Bayers, Halifax N.-É. B3L 2C2</w:t>
          </w:r>
        </w:p>
        <w:p w14:paraId="6DB2F3D5" w14:textId="144C6561" w:rsidR="00E27503"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Numéro de </w:t>
          </w:r>
          <w:proofErr w:type="gramStart"/>
          <w:r w:rsidRPr="003C06E0">
            <w:rPr>
              <w:rFonts w:cs="Calibri"/>
              <w:b/>
              <w:bCs/>
              <w:sz w:val="28"/>
              <w:szCs w:val="28"/>
              <w:lang w:val="en-CA"/>
            </w:rPr>
            <w:t>téléphone :</w:t>
          </w:r>
          <w:proofErr w:type="gramEnd"/>
          <w:r w:rsidR="00900DAC" w:rsidRPr="003C06E0">
            <w:rPr>
              <w:rFonts w:cs="Calibri"/>
              <w:b/>
              <w:bCs/>
              <w:sz w:val="28"/>
              <w:szCs w:val="28"/>
              <w:lang w:val="en-CA"/>
            </w:rPr>
            <w:t xml:space="preserve"> </w:t>
          </w:r>
          <w:r w:rsidR="00E27503" w:rsidRPr="00F72D53">
            <w:rPr>
              <w:rFonts w:cs="Calibri"/>
              <w:sz w:val="28"/>
              <w:szCs w:val="28"/>
              <w:lang w:val="en-CA"/>
            </w:rPr>
            <w:t>902.493.3820</w:t>
          </w:r>
        </w:p>
        <w:p w14:paraId="05411DFB" w14:textId="4DE4CE87" w:rsidR="00E27503"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Numéro de </w:t>
          </w:r>
          <w:proofErr w:type="gramStart"/>
          <w:r w:rsidRPr="003C06E0">
            <w:rPr>
              <w:rFonts w:cs="Calibri"/>
              <w:b/>
              <w:bCs/>
              <w:sz w:val="28"/>
              <w:szCs w:val="28"/>
              <w:lang w:val="en-CA"/>
            </w:rPr>
            <w:t>télécopieur :</w:t>
          </w:r>
          <w:proofErr w:type="gramEnd"/>
          <w:r w:rsidRPr="003C06E0">
            <w:rPr>
              <w:rFonts w:cs="Calibri"/>
              <w:b/>
              <w:bCs/>
              <w:sz w:val="28"/>
              <w:szCs w:val="28"/>
              <w:lang w:val="en-CA"/>
            </w:rPr>
            <w:t xml:space="preserve"> </w:t>
          </w:r>
          <w:r w:rsidR="00E27503" w:rsidRPr="00F72D53">
            <w:rPr>
              <w:rFonts w:cs="Calibri"/>
              <w:sz w:val="28"/>
              <w:szCs w:val="28"/>
              <w:lang w:val="en-CA"/>
            </w:rPr>
            <w:t>902.493.3879</w:t>
          </w:r>
        </w:p>
        <w:p w14:paraId="2E27D35E" w14:textId="2B3B185A" w:rsidR="00E27503"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Numéro d’enregistrement de la </w:t>
          </w:r>
          <w:proofErr w:type="gramStart"/>
          <w:r w:rsidRPr="003C06E0">
            <w:rPr>
              <w:rFonts w:cs="Calibri"/>
              <w:b/>
              <w:bCs/>
              <w:sz w:val="28"/>
              <w:szCs w:val="28"/>
              <w:lang w:val="en-CA"/>
            </w:rPr>
            <w:t>ROP :</w:t>
          </w:r>
          <w:proofErr w:type="gramEnd"/>
          <w:r w:rsidRPr="003C06E0">
            <w:rPr>
              <w:rFonts w:cs="Calibri"/>
              <w:b/>
              <w:bCs/>
              <w:sz w:val="28"/>
              <w:szCs w:val="28"/>
              <w:lang w:val="en-CA"/>
            </w:rPr>
            <w:t xml:space="preserve"> </w:t>
          </w:r>
          <w:r w:rsidR="00E27503" w:rsidRPr="00F72D53">
            <w:rPr>
              <w:rFonts w:cs="Calibri"/>
              <w:sz w:val="28"/>
              <w:szCs w:val="28"/>
              <w:lang w:val="en-CA"/>
            </w:rPr>
            <w:t xml:space="preserve">POR </w:t>
          </w:r>
          <w:r w:rsidR="00895748" w:rsidRPr="00F72D53">
            <w:rPr>
              <w:rFonts w:cs="Calibri"/>
              <w:sz w:val="28"/>
              <w:szCs w:val="28"/>
              <w:lang w:val="en-CA"/>
            </w:rPr>
            <w:t>009-22</w:t>
          </w:r>
        </w:p>
        <w:p w14:paraId="48E484EE" w14:textId="16E8BA48" w:rsidR="00E27503"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Numéro de </w:t>
          </w:r>
          <w:proofErr w:type="gramStart"/>
          <w:r w:rsidRPr="003C06E0">
            <w:rPr>
              <w:rFonts w:cs="Calibri"/>
              <w:b/>
              <w:bCs/>
              <w:sz w:val="28"/>
              <w:szCs w:val="28"/>
              <w:lang w:val="en-CA"/>
            </w:rPr>
            <w:t>contrat :</w:t>
          </w:r>
          <w:proofErr w:type="gramEnd"/>
          <w:r w:rsidR="0037416B" w:rsidRPr="003C06E0">
            <w:rPr>
              <w:rFonts w:cs="Calibri"/>
              <w:b/>
              <w:bCs/>
              <w:sz w:val="28"/>
              <w:szCs w:val="28"/>
              <w:lang w:val="en-CA"/>
            </w:rPr>
            <w:t xml:space="preserve"> </w:t>
          </w:r>
          <w:r w:rsidR="000D612C" w:rsidRPr="00F72D53">
            <w:rPr>
              <w:rFonts w:cs="Calibri"/>
              <w:sz w:val="28"/>
              <w:szCs w:val="28"/>
              <w:lang w:val="en-CA"/>
            </w:rPr>
            <w:t>CW2230133</w:t>
          </w:r>
        </w:p>
        <w:p w14:paraId="06894133" w14:textId="10A048D5" w:rsidR="009E7C2A" w:rsidRPr="003C06E0" w:rsidRDefault="008F5A98" w:rsidP="003C06E0">
          <w:pPr>
            <w:tabs>
              <w:tab w:val="left" w:pos="4005"/>
            </w:tabs>
            <w:rPr>
              <w:rFonts w:cs="Calibri"/>
              <w:b/>
              <w:bCs/>
              <w:sz w:val="28"/>
              <w:szCs w:val="28"/>
              <w:lang w:val="en-CA"/>
            </w:rPr>
          </w:pPr>
          <w:r w:rsidRPr="003C06E0">
            <w:rPr>
              <w:rFonts w:cs="Calibri"/>
              <w:b/>
              <w:bCs/>
              <w:sz w:val="28"/>
              <w:szCs w:val="28"/>
              <w:lang w:val="en-CA"/>
            </w:rPr>
            <w:t xml:space="preserve">Valeur du </w:t>
          </w:r>
          <w:proofErr w:type="gramStart"/>
          <w:r w:rsidRPr="003C06E0">
            <w:rPr>
              <w:rFonts w:cs="Calibri"/>
              <w:b/>
              <w:bCs/>
              <w:sz w:val="28"/>
              <w:szCs w:val="28"/>
              <w:lang w:val="en-CA"/>
            </w:rPr>
            <w:t>contrat :</w:t>
          </w:r>
          <w:proofErr w:type="gramEnd"/>
          <w:r w:rsidR="00900DAC" w:rsidRPr="003C06E0">
            <w:rPr>
              <w:rFonts w:cs="Calibri"/>
              <w:b/>
              <w:bCs/>
              <w:sz w:val="28"/>
              <w:szCs w:val="28"/>
              <w:lang w:val="en-CA"/>
            </w:rPr>
            <w:t xml:space="preserve"> </w:t>
          </w:r>
          <w:r w:rsidR="000D612C" w:rsidRPr="00F72D53">
            <w:rPr>
              <w:rFonts w:cs="Calibri"/>
              <w:sz w:val="28"/>
              <w:szCs w:val="28"/>
              <w:lang w:val="en-CA"/>
            </w:rPr>
            <w:t>35,679.75</w:t>
          </w:r>
          <w:r w:rsidR="00900DAC" w:rsidRPr="00F72D53">
            <w:rPr>
              <w:rFonts w:cs="Calibri"/>
              <w:sz w:val="28"/>
              <w:szCs w:val="28"/>
              <w:lang w:val="en-CA"/>
            </w:rPr>
            <w:t xml:space="preserve"> $</w:t>
          </w:r>
          <w:r w:rsidR="00E27503" w:rsidRPr="00F72D53">
            <w:rPr>
              <w:rFonts w:cs="Calibri"/>
              <w:sz w:val="28"/>
              <w:szCs w:val="28"/>
              <w:lang w:val="en-CA"/>
            </w:rPr>
            <w:t xml:space="preserve"> </w:t>
          </w:r>
          <w:r w:rsidR="009E7C2A" w:rsidRPr="00F72D53">
            <w:rPr>
              <w:rFonts w:cs="Calibri"/>
              <w:sz w:val="28"/>
              <w:szCs w:val="28"/>
              <w:lang w:val="en-CA"/>
            </w:rPr>
            <w:t>(TVH incluse)</w:t>
          </w:r>
        </w:p>
        <w:p w14:paraId="1C4132DF" w14:textId="269E05A9" w:rsidR="00E27503" w:rsidRPr="003C06E0" w:rsidRDefault="00900DAC" w:rsidP="003C06E0">
          <w:pPr>
            <w:tabs>
              <w:tab w:val="left" w:pos="4005"/>
            </w:tabs>
            <w:rPr>
              <w:rFonts w:cs="Calibri"/>
              <w:b/>
              <w:bCs/>
              <w:sz w:val="28"/>
              <w:szCs w:val="28"/>
              <w:lang w:val="en-CA"/>
            </w:rPr>
          </w:pPr>
          <w:r w:rsidRPr="003C06E0">
            <w:rPr>
              <w:rFonts w:cs="Calibri"/>
              <w:b/>
              <w:bCs/>
              <w:sz w:val="28"/>
              <w:szCs w:val="28"/>
              <w:lang w:val="en-CA"/>
            </w:rPr>
            <w:t xml:space="preserve">Date d’octroi du </w:t>
          </w:r>
          <w:proofErr w:type="gramStart"/>
          <w:r w:rsidRPr="003C06E0">
            <w:rPr>
              <w:rFonts w:cs="Calibri"/>
              <w:b/>
              <w:bCs/>
              <w:sz w:val="28"/>
              <w:szCs w:val="28"/>
              <w:lang w:val="en-CA"/>
            </w:rPr>
            <w:t>contrat :</w:t>
          </w:r>
          <w:proofErr w:type="gramEnd"/>
          <w:r w:rsidRPr="003C06E0">
            <w:rPr>
              <w:rFonts w:cs="Calibri"/>
              <w:b/>
              <w:bCs/>
              <w:sz w:val="28"/>
              <w:szCs w:val="28"/>
              <w:lang w:val="en-CA"/>
            </w:rPr>
            <w:t xml:space="preserve"> </w:t>
          </w:r>
          <w:r w:rsidRPr="00F72D53">
            <w:rPr>
              <w:rFonts w:cs="Calibri"/>
              <w:sz w:val="28"/>
              <w:szCs w:val="28"/>
              <w:lang w:val="en-CA"/>
            </w:rPr>
            <w:t xml:space="preserve">Le </w:t>
          </w:r>
          <w:r w:rsidR="000D612C" w:rsidRPr="00F72D53">
            <w:rPr>
              <w:rFonts w:cs="Calibri"/>
              <w:sz w:val="28"/>
              <w:szCs w:val="28"/>
              <w:lang w:val="en-CA"/>
            </w:rPr>
            <w:t>8</w:t>
          </w:r>
          <w:r w:rsidRPr="00F72D53">
            <w:rPr>
              <w:rFonts w:cs="Calibri"/>
              <w:sz w:val="28"/>
              <w:szCs w:val="28"/>
              <w:lang w:val="en-CA"/>
            </w:rPr>
            <w:t xml:space="preserve"> </w:t>
          </w:r>
          <w:r w:rsidR="000D612C" w:rsidRPr="00F72D53">
            <w:rPr>
              <w:rFonts w:cs="Calibri"/>
              <w:sz w:val="28"/>
              <w:szCs w:val="28"/>
              <w:lang w:val="en-CA"/>
            </w:rPr>
            <w:t>Juin</w:t>
          </w:r>
          <w:r w:rsidR="00237248" w:rsidRPr="00F72D53">
            <w:rPr>
              <w:rFonts w:cs="Calibri"/>
              <w:sz w:val="28"/>
              <w:szCs w:val="28"/>
              <w:lang w:val="en-CA"/>
            </w:rPr>
            <w:t xml:space="preserve"> 202</w:t>
          </w:r>
          <w:r w:rsidR="000D612C" w:rsidRPr="00F72D53">
            <w:rPr>
              <w:rFonts w:cs="Calibri"/>
              <w:sz w:val="28"/>
              <w:szCs w:val="28"/>
              <w:lang w:val="en-CA"/>
            </w:rPr>
            <w:t>2</w:t>
          </w:r>
        </w:p>
        <w:p w14:paraId="1C957A4E" w14:textId="3CF89EE2" w:rsidR="00E27503" w:rsidRPr="003C06E0" w:rsidRDefault="00900DAC" w:rsidP="003C06E0">
          <w:pPr>
            <w:tabs>
              <w:tab w:val="left" w:pos="4005"/>
            </w:tabs>
            <w:rPr>
              <w:rFonts w:cs="Calibri"/>
              <w:b/>
              <w:bCs/>
              <w:sz w:val="28"/>
              <w:szCs w:val="28"/>
              <w:lang w:val="en-CA"/>
            </w:rPr>
          </w:pPr>
          <w:r w:rsidRPr="003C06E0">
            <w:rPr>
              <w:rFonts w:cs="Calibri"/>
              <w:b/>
              <w:bCs/>
              <w:sz w:val="28"/>
              <w:szCs w:val="28"/>
              <w:lang w:val="en-CA"/>
            </w:rPr>
            <w:t xml:space="preserve">Date de </w:t>
          </w:r>
          <w:proofErr w:type="gramStart"/>
          <w:r w:rsidRPr="003C06E0">
            <w:rPr>
              <w:rFonts w:cs="Calibri"/>
              <w:b/>
              <w:bCs/>
              <w:sz w:val="28"/>
              <w:szCs w:val="28"/>
              <w:lang w:val="en-CA"/>
            </w:rPr>
            <w:t>livraison :</w:t>
          </w:r>
          <w:proofErr w:type="gramEnd"/>
          <w:r w:rsidRPr="003C06E0">
            <w:rPr>
              <w:rFonts w:cs="Calibri"/>
              <w:b/>
              <w:bCs/>
              <w:sz w:val="28"/>
              <w:szCs w:val="28"/>
              <w:lang w:val="en-CA"/>
            </w:rPr>
            <w:t xml:space="preserve"> </w:t>
          </w:r>
          <w:r w:rsidRPr="00F72D53">
            <w:rPr>
              <w:rFonts w:cs="Calibri"/>
              <w:sz w:val="28"/>
              <w:szCs w:val="28"/>
              <w:lang w:val="en-CA"/>
            </w:rPr>
            <w:t xml:space="preserve">Le </w:t>
          </w:r>
          <w:r w:rsidR="000D612C" w:rsidRPr="00F72D53">
            <w:rPr>
              <w:rFonts w:cs="Calibri"/>
              <w:sz w:val="28"/>
              <w:szCs w:val="28"/>
              <w:lang w:val="en-CA"/>
            </w:rPr>
            <w:t xml:space="preserve">1 </w:t>
          </w:r>
          <w:r w:rsidRPr="00F72D53">
            <w:rPr>
              <w:rFonts w:cs="Calibri"/>
              <w:sz w:val="28"/>
              <w:szCs w:val="28"/>
              <w:lang w:val="en-CA"/>
            </w:rPr>
            <w:t>Mars</w:t>
          </w:r>
          <w:r w:rsidR="00237248" w:rsidRPr="00F72D53">
            <w:rPr>
              <w:rFonts w:cs="Calibri"/>
              <w:sz w:val="28"/>
              <w:szCs w:val="28"/>
              <w:lang w:val="en-CA"/>
            </w:rPr>
            <w:t xml:space="preserve"> 2022</w:t>
          </w:r>
        </w:p>
        <w:p w14:paraId="2E75F5C8" w14:textId="05FDDA25" w:rsidR="00E27503" w:rsidRPr="003C06E0" w:rsidRDefault="00E27503" w:rsidP="003C06E0">
          <w:pPr>
            <w:tabs>
              <w:tab w:val="left" w:pos="4005"/>
            </w:tabs>
            <w:rPr>
              <w:rFonts w:cs="Calibri"/>
              <w:b/>
              <w:bCs/>
              <w:sz w:val="28"/>
              <w:szCs w:val="28"/>
              <w:lang w:val="en-CA"/>
            </w:rPr>
          </w:pPr>
        </w:p>
        <w:p w14:paraId="5A0E3D09" w14:textId="77777777" w:rsidR="00900DAC" w:rsidRPr="003C06E0" w:rsidRDefault="00900DAC" w:rsidP="003C06E0">
          <w:pPr>
            <w:tabs>
              <w:tab w:val="left" w:pos="4005"/>
            </w:tabs>
            <w:rPr>
              <w:rFonts w:cs="Calibri"/>
              <w:sz w:val="28"/>
              <w:szCs w:val="28"/>
              <w:lang w:val="en-CA"/>
            </w:rPr>
          </w:pPr>
          <w:r w:rsidRPr="003C06E0">
            <w:rPr>
              <w:rFonts w:cs="Calibri"/>
              <w:sz w:val="28"/>
              <w:szCs w:val="28"/>
              <w:lang w:val="en-CA"/>
            </w:rPr>
            <w:t>This report is also available in English</w:t>
          </w:r>
        </w:p>
        <w:p w14:paraId="02DCDF0D" w14:textId="77777777" w:rsidR="003C06E0" w:rsidRPr="003C06E0" w:rsidRDefault="003C06E0" w:rsidP="005B5BCE">
          <w:pPr>
            <w:tabs>
              <w:tab w:val="left" w:pos="4005"/>
            </w:tabs>
            <w:spacing w:line="240" w:lineRule="auto"/>
            <w:rPr>
              <w:rFonts w:cs="Calibri"/>
              <w:sz w:val="28"/>
              <w:szCs w:val="28"/>
              <w:lang w:val="en-CA"/>
            </w:rPr>
          </w:pPr>
        </w:p>
        <w:p w14:paraId="17E32140" w14:textId="4FE442A0" w:rsidR="00B70C7D" w:rsidRPr="003C06E0" w:rsidRDefault="003C06E0" w:rsidP="00F10F0C">
          <w:pPr>
            <w:tabs>
              <w:tab w:val="left" w:pos="4005"/>
            </w:tabs>
            <w:rPr>
              <w:rFonts w:cs="Calibri"/>
              <w:b/>
              <w:bCs/>
              <w:lang w:val="en-CA"/>
            </w:rPr>
          </w:pPr>
          <w:r w:rsidRPr="003C06E0">
            <w:rPr>
              <w:rFonts w:cs="Calibri"/>
              <w:b/>
              <w:bCs/>
              <w:noProof/>
              <w:lang w:val="en-CA"/>
            </w:rPr>
            <w:drawing>
              <wp:anchor distT="0" distB="0" distL="114300" distR="114300" simplePos="0" relativeHeight="251672576" behindDoc="1" locked="0" layoutInCell="1" allowOverlap="1" wp14:anchorId="64FD44CE" wp14:editId="076C0C8F">
                <wp:simplePos x="0" y="0"/>
                <wp:positionH relativeFrom="margin">
                  <wp:align>left</wp:align>
                </wp:positionH>
                <wp:positionV relativeFrom="paragraph">
                  <wp:posOffset>166776</wp:posOffset>
                </wp:positionV>
                <wp:extent cx="2234462" cy="384048"/>
                <wp:effectExtent l="0" t="0" r="0" b="0"/>
                <wp:wrapTight wrapText="bothSides">
                  <wp:wrapPolygon edited="0">
                    <wp:start x="0" y="0"/>
                    <wp:lineTo x="0" y="18238"/>
                    <wp:lineTo x="553" y="19311"/>
                    <wp:lineTo x="9394" y="20384"/>
                    <wp:lineTo x="20998" y="20384"/>
                    <wp:lineTo x="21182" y="19311"/>
                    <wp:lineTo x="21367" y="0"/>
                    <wp:lineTo x="0" y="0"/>
                  </wp:wrapPolygon>
                </wp:wrapTight>
                <wp:docPr id="16" name="Picture 16" descr="Défense nation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éfense nation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462" cy="384048"/>
                        </a:xfrm>
                        <a:prstGeom prst="rect">
                          <a:avLst/>
                        </a:prstGeom>
                        <a:noFill/>
                        <a:ln>
                          <a:noFill/>
                        </a:ln>
                      </pic:spPr>
                    </pic:pic>
                  </a:graphicData>
                </a:graphic>
              </wp:anchor>
            </w:drawing>
          </w:r>
        </w:p>
        <w:p w14:paraId="03005D4D" w14:textId="4007F537" w:rsidR="003C06E0" w:rsidRPr="003C06E0" w:rsidRDefault="003C06E0" w:rsidP="00F10F0C">
          <w:pPr>
            <w:tabs>
              <w:tab w:val="left" w:pos="4005"/>
            </w:tabs>
            <w:rPr>
              <w:rFonts w:cs="Calibri"/>
              <w:b/>
              <w:bCs/>
              <w:lang w:val="en-CA"/>
            </w:rPr>
          </w:pPr>
        </w:p>
        <w:p w14:paraId="0C571933" w14:textId="5B3F86FF" w:rsidR="003C06E0" w:rsidRPr="003C06E0" w:rsidRDefault="003C06E0" w:rsidP="00F10F0C">
          <w:pPr>
            <w:tabs>
              <w:tab w:val="left" w:pos="4005"/>
            </w:tabs>
            <w:rPr>
              <w:rFonts w:cs="Calibri"/>
              <w:b/>
              <w:bCs/>
              <w:lang w:val="en-CA"/>
            </w:rPr>
          </w:pPr>
        </w:p>
        <w:p w14:paraId="6A05CD55" w14:textId="61832467" w:rsidR="003C06E0" w:rsidRPr="003C06E0" w:rsidRDefault="003C06E0" w:rsidP="00F10F0C">
          <w:pPr>
            <w:tabs>
              <w:tab w:val="left" w:pos="4005"/>
            </w:tabs>
            <w:rPr>
              <w:rFonts w:cs="Calibri"/>
              <w:b/>
              <w:bCs/>
              <w:lang w:val="en-CA"/>
            </w:rPr>
          </w:pPr>
        </w:p>
        <w:p w14:paraId="7F187D9F" w14:textId="73E803D0" w:rsidR="003C06E0" w:rsidRPr="003C06E0" w:rsidRDefault="003C06E0" w:rsidP="00F10F0C">
          <w:pPr>
            <w:tabs>
              <w:tab w:val="left" w:pos="4005"/>
            </w:tabs>
            <w:rPr>
              <w:rFonts w:cs="Calibri"/>
              <w:b/>
              <w:bCs/>
              <w:lang w:val="en-CA"/>
            </w:rPr>
          </w:pPr>
          <w:r w:rsidRPr="003C06E0">
            <w:rPr>
              <w:rFonts w:cs="Calibri"/>
              <w:b/>
              <w:bCs/>
              <w:noProof/>
              <w:lang w:val="en-CA"/>
            </w:rPr>
            <w:drawing>
              <wp:anchor distT="0" distB="0" distL="114300" distR="114300" simplePos="0" relativeHeight="251656192" behindDoc="0" locked="0" layoutInCell="1" allowOverlap="1" wp14:anchorId="16BAA746" wp14:editId="6EF96873">
                <wp:simplePos x="0" y="0"/>
                <wp:positionH relativeFrom="margin">
                  <wp:posOffset>105918</wp:posOffset>
                </wp:positionH>
                <wp:positionV relativeFrom="paragraph">
                  <wp:posOffset>7518</wp:posOffset>
                </wp:positionV>
                <wp:extent cx="1965325" cy="467995"/>
                <wp:effectExtent l="0" t="0" r="0" b="8255"/>
                <wp:wrapSquare wrapText="bothSides"/>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0309D" w14:textId="3BA0F6B2" w:rsidR="003C06E0" w:rsidRPr="003C06E0" w:rsidRDefault="003C06E0" w:rsidP="00F10F0C">
          <w:pPr>
            <w:tabs>
              <w:tab w:val="left" w:pos="4005"/>
            </w:tabs>
            <w:rPr>
              <w:rFonts w:cs="Calibri"/>
              <w:b/>
              <w:bCs/>
              <w:lang w:val="en-CA"/>
            </w:rPr>
          </w:pPr>
        </w:p>
        <w:p w14:paraId="0754733E" w14:textId="50F95202" w:rsidR="003C06E0" w:rsidRDefault="003C06E0" w:rsidP="00F10F0C">
          <w:pPr>
            <w:tabs>
              <w:tab w:val="left" w:pos="4005"/>
            </w:tabs>
            <w:rPr>
              <w:rFonts w:cs="Calibri"/>
              <w:b/>
              <w:bCs/>
              <w:lang w:val="en-CA"/>
            </w:rPr>
          </w:pPr>
        </w:p>
        <w:p w14:paraId="227CE5E4" w14:textId="2DADA390" w:rsidR="00180092" w:rsidRPr="003C06E0" w:rsidRDefault="008923EF" w:rsidP="003C06E0">
          <w:pPr>
            <w:tabs>
              <w:tab w:val="left" w:pos="4005"/>
            </w:tabs>
            <w:rPr>
              <w:rFonts w:cs="Calibri"/>
              <w:b/>
              <w:bCs/>
              <w:lang w:val="en-CA"/>
            </w:rPr>
          </w:pPr>
        </w:p>
      </w:sdtContent>
    </w:sdt>
    <w:bookmarkStart w:id="0" w:name="_Toc16681175" w:displacedByCustomXml="prev"/>
    <w:bookmarkStart w:id="1" w:name="_Toc79062367" w:displacedByCustomXml="prev"/>
    <w:bookmarkStart w:id="2" w:name="_Toc99008836" w:displacedByCustomXml="prev"/>
    <w:bookmarkStart w:id="3" w:name="_Hlk3971541" w:displacedByCustomXml="prev"/>
    <w:p w14:paraId="017F22AE" w14:textId="3AC4945F" w:rsidR="00FF5FCC" w:rsidRPr="003C06E0" w:rsidRDefault="00FF5FCC" w:rsidP="00113CC2">
      <w:pPr>
        <w:pStyle w:val="Heading2"/>
        <w:rPr>
          <w:rFonts w:ascii="Calibri" w:hAnsi="Calibri" w:cs="Calibri"/>
          <w:color w:val="auto"/>
          <w:lang w:val="fr-CA"/>
        </w:rPr>
      </w:pPr>
      <w:r w:rsidRPr="003C06E0">
        <w:rPr>
          <w:rFonts w:ascii="Calibri" w:hAnsi="Calibri" w:cs="Calibri"/>
          <w:color w:val="auto"/>
          <w:lang w:val="fr-CA"/>
        </w:rPr>
        <w:t>Droit d’auteur</w:t>
      </w:r>
      <w:bookmarkEnd w:id="2"/>
      <w:bookmarkEnd w:id="1"/>
      <w:bookmarkEnd w:id="0"/>
    </w:p>
    <w:p w14:paraId="05620FD5" w14:textId="77777777" w:rsidR="00FF5FCC" w:rsidRPr="003C06E0" w:rsidRDefault="00FF5FCC" w:rsidP="003C06E0">
      <w:pPr>
        <w:ind w:right="-273"/>
        <w:rPr>
          <w:rFonts w:cs="Calibri"/>
          <w:lang w:val="fr-FR"/>
        </w:rPr>
      </w:pPr>
    </w:p>
    <w:p w14:paraId="1E060EB6" w14:textId="3A1FA769" w:rsidR="00FF5FCC" w:rsidRPr="003C06E0" w:rsidRDefault="00FF5FCC" w:rsidP="00CE0D9C">
      <w:pPr>
        <w:rPr>
          <w:rFonts w:cs="Calibri"/>
          <w:b/>
          <w:bCs/>
          <w:lang w:val="fr-FR"/>
        </w:rPr>
      </w:pPr>
      <w:bookmarkStart w:id="4" w:name="_Toc78283437"/>
      <w:bookmarkStart w:id="5" w:name="_Toc78355159"/>
      <w:bookmarkStart w:id="6" w:name="_Toc78444049"/>
      <w:bookmarkStart w:id="7" w:name="_Toc78447289"/>
      <w:bookmarkStart w:id="8" w:name="_Toc79062368"/>
      <w:r w:rsidRPr="003C06E0">
        <w:rPr>
          <w:rFonts w:cs="Calibri"/>
          <w:b/>
          <w:bCs/>
          <w:lang w:val="fr-FR"/>
        </w:rPr>
        <w:t>Évaluation du rappel de la publicité de recrutement : campagne</w:t>
      </w:r>
      <w:r w:rsidR="000349AE" w:rsidRPr="003C06E0">
        <w:rPr>
          <w:rFonts w:cs="Calibri"/>
          <w:b/>
          <w:bCs/>
          <w:lang w:val="fr-FR"/>
        </w:rPr>
        <w:t>s</w:t>
      </w:r>
      <w:r w:rsidRPr="003C06E0">
        <w:rPr>
          <w:rFonts w:cs="Calibri"/>
          <w:b/>
          <w:bCs/>
          <w:lang w:val="fr-FR"/>
        </w:rPr>
        <w:t xml:space="preserve"> 202</w:t>
      </w:r>
      <w:r w:rsidR="000349AE" w:rsidRPr="003C06E0">
        <w:rPr>
          <w:rFonts w:cs="Calibri"/>
          <w:b/>
          <w:bCs/>
          <w:lang w:val="fr-FR"/>
        </w:rPr>
        <w:t>2</w:t>
      </w:r>
      <w:r w:rsidRPr="003C06E0">
        <w:rPr>
          <w:rFonts w:cs="Calibri"/>
          <w:b/>
          <w:bCs/>
          <w:lang w:val="fr-FR"/>
        </w:rPr>
        <w:t>-2</w:t>
      </w:r>
      <w:bookmarkEnd w:id="4"/>
      <w:bookmarkEnd w:id="5"/>
      <w:bookmarkEnd w:id="6"/>
      <w:bookmarkEnd w:id="7"/>
      <w:bookmarkEnd w:id="8"/>
      <w:r w:rsidR="000349AE" w:rsidRPr="003C06E0">
        <w:rPr>
          <w:rFonts w:cs="Calibri"/>
          <w:b/>
          <w:bCs/>
          <w:lang w:val="fr-FR"/>
        </w:rPr>
        <w:t>3</w:t>
      </w:r>
    </w:p>
    <w:p w14:paraId="15E1E53E" w14:textId="77777777" w:rsidR="00113CC2" w:rsidRPr="003C06E0" w:rsidRDefault="00113CC2" w:rsidP="003C06E0">
      <w:pPr>
        <w:ind w:right="-273"/>
        <w:rPr>
          <w:rFonts w:cs="Calibri"/>
          <w:lang w:val="fr-FR"/>
        </w:rPr>
      </w:pPr>
    </w:p>
    <w:p w14:paraId="696F2128" w14:textId="14992021" w:rsidR="00FF5FCC" w:rsidRPr="003C06E0" w:rsidRDefault="00434A0D" w:rsidP="00CE0D9C">
      <w:pPr>
        <w:rPr>
          <w:rFonts w:cs="Calibri"/>
          <w:b/>
          <w:bCs/>
          <w:lang w:val="fr-FR"/>
        </w:rPr>
      </w:pPr>
      <w:r w:rsidRPr="003C06E0">
        <w:rPr>
          <w:rFonts w:cs="Calibri"/>
          <w:b/>
          <w:bCs/>
          <w:lang w:val="fr-FR"/>
        </w:rPr>
        <w:t xml:space="preserve">Sommaire </w:t>
      </w:r>
    </w:p>
    <w:p w14:paraId="6757EF8E" w14:textId="77777777" w:rsidR="00FF5FCC" w:rsidRPr="003C06E0" w:rsidRDefault="00FF5FCC" w:rsidP="003C06E0">
      <w:pPr>
        <w:ind w:right="-273"/>
        <w:rPr>
          <w:rFonts w:cs="Calibri"/>
          <w:lang w:val="fr-FR"/>
        </w:rPr>
      </w:pPr>
    </w:p>
    <w:p w14:paraId="338E1206" w14:textId="77777777" w:rsidR="00FF5FCC" w:rsidRPr="003C06E0" w:rsidRDefault="00FF5FCC" w:rsidP="00FF5FCC">
      <w:pPr>
        <w:ind w:right="1440"/>
        <w:rPr>
          <w:rFonts w:cs="Calibri"/>
          <w:b/>
          <w:lang w:val="fr-FR"/>
        </w:rPr>
      </w:pPr>
      <w:r w:rsidRPr="003C06E0">
        <w:rPr>
          <w:rFonts w:cs="Calibri"/>
          <w:b/>
          <w:lang w:val="fr-FR"/>
        </w:rPr>
        <w:t>Préparé pour le ministère de la Défense nationale</w:t>
      </w:r>
    </w:p>
    <w:p w14:paraId="6C56382F" w14:textId="77777777" w:rsidR="00FF5FCC" w:rsidRPr="003C06E0" w:rsidRDefault="00FF5FCC" w:rsidP="00FF5FCC">
      <w:pPr>
        <w:ind w:right="1440"/>
        <w:rPr>
          <w:rFonts w:cs="Calibri"/>
          <w:lang w:val="fr-FR"/>
        </w:rPr>
      </w:pPr>
      <w:r w:rsidRPr="003C06E0">
        <w:rPr>
          <w:rFonts w:cs="Calibri"/>
          <w:lang w:val="fr-FR"/>
        </w:rPr>
        <w:t>Nom du fournisseur : Narrative Research Inc.</w:t>
      </w:r>
    </w:p>
    <w:p w14:paraId="42B65245" w14:textId="03BA19AE" w:rsidR="00FF5FCC" w:rsidRPr="003C06E0" w:rsidRDefault="00FF5FCC" w:rsidP="00FF5FCC">
      <w:pPr>
        <w:ind w:right="1440"/>
        <w:rPr>
          <w:rFonts w:cs="Calibri"/>
          <w:lang w:val="fr-CA"/>
        </w:rPr>
      </w:pPr>
      <w:r w:rsidRPr="003C06E0">
        <w:rPr>
          <w:rFonts w:cs="Calibri"/>
          <w:lang w:val="fr-CA"/>
        </w:rPr>
        <w:t xml:space="preserve">Le </w:t>
      </w:r>
      <w:r w:rsidR="000349AE" w:rsidRPr="003C06E0">
        <w:rPr>
          <w:rFonts w:cs="Calibri"/>
          <w:lang w:val="fr-CA"/>
        </w:rPr>
        <w:t>1</w:t>
      </w:r>
      <w:r w:rsidRPr="003C06E0">
        <w:rPr>
          <w:rFonts w:cs="Calibri"/>
          <w:lang w:val="fr-CA"/>
        </w:rPr>
        <w:t xml:space="preserve"> Mars 202</w:t>
      </w:r>
      <w:r w:rsidR="000349AE" w:rsidRPr="003C06E0">
        <w:rPr>
          <w:rFonts w:cs="Calibri"/>
          <w:lang w:val="fr-CA"/>
        </w:rPr>
        <w:t>3</w:t>
      </w:r>
    </w:p>
    <w:p w14:paraId="33541708" w14:textId="77777777" w:rsidR="00622136" w:rsidRPr="003C06E0" w:rsidRDefault="00622136" w:rsidP="003C06E0">
      <w:pPr>
        <w:ind w:right="-273"/>
        <w:rPr>
          <w:rFonts w:cs="Calibri"/>
          <w:lang w:val="fr-FR"/>
        </w:rPr>
      </w:pPr>
    </w:p>
    <w:p w14:paraId="24797612" w14:textId="3ADF609C" w:rsidR="00A179AA" w:rsidRPr="003C06E0" w:rsidRDefault="00A179AA" w:rsidP="00A179AA">
      <w:pPr>
        <w:ind w:right="-273"/>
        <w:rPr>
          <w:rFonts w:cs="Calibri"/>
          <w:lang w:val="fr-FR"/>
        </w:rPr>
      </w:pPr>
      <w:r w:rsidRPr="003C06E0">
        <w:rPr>
          <w:rFonts w:cs="Calibri"/>
          <w:lang w:val="fr-FR"/>
        </w:rPr>
        <w:t>Ce rapport présente les détails méthodologiques de</w:t>
      </w:r>
      <w:r w:rsidR="00315733" w:rsidRPr="003C06E0" w:rsidDel="00315733">
        <w:rPr>
          <w:rFonts w:cs="Calibri"/>
          <w:lang w:val="fr-FR"/>
        </w:rPr>
        <w:t xml:space="preserve"> </w:t>
      </w:r>
      <w:r w:rsidR="00315733" w:rsidRPr="003C06E0">
        <w:rPr>
          <w:rFonts w:cs="Calibri"/>
          <w:lang w:val="fr-FR"/>
        </w:rPr>
        <w:t>l’évaluation de campagne d’août 2022 et de l’évaluation de campagne de février 2023</w:t>
      </w:r>
      <w:r w:rsidR="00307984" w:rsidRPr="003C06E0">
        <w:rPr>
          <w:rFonts w:cs="Calibri"/>
          <w:lang w:val="fr-FR"/>
        </w:rPr>
        <w:t xml:space="preserve"> pour</w:t>
      </w:r>
      <w:r w:rsidRPr="003C06E0">
        <w:rPr>
          <w:rFonts w:cs="Calibri"/>
          <w:lang w:val="fr-FR"/>
        </w:rPr>
        <w:t xml:space="preserve"> l’</w:t>
      </w:r>
      <w:r w:rsidRPr="003C06E0">
        <w:rPr>
          <w:rFonts w:cs="Calibri"/>
          <w:b/>
          <w:lang w:val="fr-FR"/>
        </w:rPr>
        <w:t xml:space="preserve">Évaluation du rappel de la publicité de recrutement : campagne </w:t>
      </w:r>
      <w:r w:rsidR="00307984" w:rsidRPr="003C06E0">
        <w:rPr>
          <w:rFonts w:cs="Calibri"/>
          <w:b/>
          <w:lang w:val="fr-FR"/>
        </w:rPr>
        <w:t>2022-2023</w:t>
      </w:r>
      <w:r w:rsidRPr="003C06E0">
        <w:rPr>
          <w:rFonts w:cs="Calibri"/>
          <w:lang w:val="fr-FR"/>
        </w:rPr>
        <w:t xml:space="preserve">, sondage mené par Narrative Research Inc. pour le compte du ministère de la Défense nationale (MDN). Pour chaque vague de recherche, tous les répondants étaient issus du grand public du Canada et âgés de 18 à 34 ans.  Un total de 1 000 répondants </w:t>
      </w:r>
      <w:proofErr w:type="gramStart"/>
      <w:r w:rsidRPr="003C06E0">
        <w:rPr>
          <w:rFonts w:cs="Calibri"/>
          <w:lang w:val="fr-FR"/>
        </w:rPr>
        <w:t>ont</w:t>
      </w:r>
      <w:proofErr w:type="gramEnd"/>
      <w:r w:rsidRPr="003C06E0">
        <w:rPr>
          <w:rFonts w:cs="Calibri"/>
          <w:lang w:val="fr-FR"/>
        </w:rPr>
        <w:t xml:space="preserve"> été inclus dans le sondage de la vague </w:t>
      </w:r>
      <w:r w:rsidR="00F269F6" w:rsidRPr="003C06E0">
        <w:rPr>
          <w:rFonts w:cs="Calibri"/>
          <w:lang w:val="fr-FR"/>
        </w:rPr>
        <w:t>post-campagne</w:t>
      </w:r>
      <w:r w:rsidRPr="003C06E0">
        <w:rPr>
          <w:rFonts w:cs="Calibri"/>
          <w:lang w:val="fr-FR"/>
        </w:rPr>
        <w:t xml:space="preserve"> </w:t>
      </w:r>
      <w:r w:rsidR="002957A9" w:rsidRPr="003C06E0">
        <w:rPr>
          <w:rFonts w:cs="Calibri"/>
          <w:lang w:val="fr-FR"/>
        </w:rPr>
        <w:t xml:space="preserve">d’août 2022 </w:t>
      </w:r>
      <w:r w:rsidRPr="003C06E0">
        <w:rPr>
          <w:rFonts w:cs="Calibri"/>
          <w:lang w:val="fr-FR"/>
        </w:rPr>
        <w:t xml:space="preserve">entre le </w:t>
      </w:r>
      <w:r w:rsidR="002957A9" w:rsidRPr="003C06E0">
        <w:rPr>
          <w:rFonts w:cs="Calibri"/>
          <w:lang w:val="fr-FR"/>
        </w:rPr>
        <w:t>8</w:t>
      </w:r>
      <w:r w:rsidRPr="003C06E0">
        <w:rPr>
          <w:rFonts w:cs="Calibri"/>
          <w:lang w:val="fr-FR"/>
        </w:rPr>
        <w:t xml:space="preserve"> </w:t>
      </w:r>
      <w:r w:rsidR="002957A9" w:rsidRPr="003C06E0">
        <w:rPr>
          <w:rFonts w:cs="Calibri"/>
          <w:lang w:val="fr-FR"/>
        </w:rPr>
        <w:t>et</w:t>
      </w:r>
      <w:r w:rsidRPr="003C06E0">
        <w:rPr>
          <w:rFonts w:cs="Calibri"/>
          <w:lang w:val="fr-FR"/>
        </w:rPr>
        <w:t xml:space="preserve"> </w:t>
      </w:r>
      <w:r w:rsidR="002957A9" w:rsidRPr="003C06E0">
        <w:rPr>
          <w:rFonts w:cs="Calibri"/>
          <w:lang w:val="fr-FR"/>
        </w:rPr>
        <w:t>le 17</w:t>
      </w:r>
      <w:r w:rsidRPr="003C06E0">
        <w:rPr>
          <w:rFonts w:cs="Calibri"/>
          <w:lang w:val="fr-FR"/>
        </w:rPr>
        <w:t xml:space="preserve"> août </w:t>
      </w:r>
      <w:r w:rsidR="002957A9" w:rsidRPr="003C06E0">
        <w:rPr>
          <w:rFonts w:cs="Calibri"/>
          <w:lang w:val="fr-FR"/>
        </w:rPr>
        <w:t>2022</w:t>
      </w:r>
      <w:r w:rsidRPr="003C06E0">
        <w:rPr>
          <w:rFonts w:cs="Calibri"/>
          <w:lang w:val="fr-FR"/>
        </w:rPr>
        <w:t>, et un total de 1 00</w:t>
      </w:r>
      <w:r w:rsidR="002957A9" w:rsidRPr="003C06E0">
        <w:rPr>
          <w:rFonts w:cs="Calibri"/>
          <w:lang w:val="fr-FR"/>
        </w:rPr>
        <w:t>8</w:t>
      </w:r>
      <w:r w:rsidRPr="003C06E0">
        <w:rPr>
          <w:rFonts w:cs="Calibri"/>
          <w:lang w:val="fr-FR"/>
        </w:rPr>
        <w:t xml:space="preserve"> répondants ont été inclus dans le sondage de la vague </w:t>
      </w:r>
      <w:r w:rsidR="00F269F6" w:rsidRPr="003C06E0">
        <w:rPr>
          <w:rFonts w:cs="Calibri"/>
          <w:lang w:val="fr-FR"/>
        </w:rPr>
        <w:t>p</w:t>
      </w:r>
      <w:r w:rsidR="00D07A31" w:rsidRPr="003C06E0">
        <w:rPr>
          <w:rFonts w:cs="Calibri"/>
          <w:lang w:val="fr-FR"/>
        </w:rPr>
        <w:t>ré</w:t>
      </w:r>
      <w:r w:rsidR="00F269F6" w:rsidRPr="003C06E0">
        <w:rPr>
          <w:rFonts w:cs="Calibri"/>
          <w:lang w:val="fr-FR"/>
        </w:rPr>
        <w:t>-campagne</w:t>
      </w:r>
      <w:r w:rsidRPr="003C06E0">
        <w:rPr>
          <w:rFonts w:cs="Calibri"/>
          <w:lang w:val="fr-FR"/>
        </w:rPr>
        <w:t xml:space="preserve"> </w:t>
      </w:r>
      <w:r w:rsidR="002957A9" w:rsidRPr="003C06E0">
        <w:rPr>
          <w:rFonts w:cs="Calibri"/>
          <w:lang w:val="fr-FR"/>
        </w:rPr>
        <w:t xml:space="preserve">de février 2023 </w:t>
      </w:r>
      <w:r w:rsidRPr="003C06E0">
        <w:rPr>
          <w:rFonts w:cs="Calibri"/>
          <w:lang w:val="fr-FR"/>
        </w:rPr>
        <w:t xml:space="preserve">entre </w:t>
      </w:r>
      <w:r w:rsidR="002957A9" w:rsidRPr="003C06E0">
        <w:rPr>
          <w:rFonts w:cs="Calibri"/>
          <w:lang w:val="fr-FR"/>
        </w:rPr>
        <w:t>le 6</w:t>
      </w:r>
      <w:r w:rsidRPr="003C06E0">
        <w:rPr>
          <w:rFonts w:cs="Calibri"/>
          <w:lang w:val="fr-FR"/>
        </w:rPr>
        <w:t xml:space="preserve"> février et </w:t>
      </w:r>
      <w:r w:rsidR="002957A9" w:rsidRPr="003C06E0">
        <w:rPr>
          <w:rFonts w:cs="Calibri"/>
          <w:lang w:val="fr-FR"/>
        </w:rPr>
        <w:t>le 16 février 2023.</w:t>
      </w:r>
      <w:r w:rsidRPr="003C06E0">
        <w:rPr>
          <w:rFonts w:cs="Calibri"/>
          <w:lang w:val="fr-FR"/>
        </w:rPr>
        <w:t xml:space="preserve">  </w:t>
      </w:r>
    </w:p>
    <w:p w14:paraId="24F0332F" w14:textId="77777777" w:rsidR="009531E9" w:rsidRPr="003C06E0" w:rsidRDefault="009531E9" w:rsidP="009531E9">
      <w:pPr>
        <w:ind w:right="-273"/>
        <w:rPr>
          <w:rFonts w:cs="Calibri"/>
          <w:lang w:val="fr-FR"/>
        </w:rPr>
      </w:pPr>
    </w:p>
    <w:p w14:paraId="53469917" w14:textId="42FC43FC" w:rsidR="00FF5FCC" w:rsidRPr="003C06E0" w:rsidRDefault="00FF5FCC" w:rsidP="00FF5FCC">
      <w:pPr>
        <w:ind w:right="11"/>
        <w:rPr>
          <w:rFonts w:cs="Calibri"/>
          <w:lang w:val="en-CA"/>
        </w:rPr>
      </w:pPr>
      <w:r w:rsidRPr="003C06E0">
        <w:rPr>
          <w:rFonts w:cs="Calibri"/>
          <w:lang w:val="en-CA"/>
        </w:rPr>
        <w:t>This publication is also available in English under the title: Testing Recall of Recruitment Advertising: 202</w:t>
      </w:r>
      <w:r w:rsidR="00572143" w:rsidRPr="003C06E0">
        <w:rPr>
          <w:rFonts w:cs="Calibri"/>
          <w:lang w:val="en-CA"/>
        </w:rPr>
        <w:t>2</w:t>
      </w:r>
      <w:r w:rsidRPr="003C06E0">
        <w:rPr>
          <w:rFonts w:cs="Calibri"/>
          <w:lang w:val="en-CA"/>
        </w:rPr>
        <w:t>-202</w:t>
      </w:r>
      <w:r w:rsidR="00572143" w:rsidRPr="003C06E0">
        <w:rPr>
          <w:rFonts w:cs="Calibri"/>
          <w:lang w:val="en-CA"/>
        </w:rPr>
        <w:t>3</w:t>
      </w:r>
      <w:r w:rsidRPr="003C06E0">
        <w:rPr>
          <w:rFonts w:cs="Calibri"/>
          <w:lang w:val="en-CA"/>
        </w:rPr>
        <w:t xml:space="preserve"> Campaign Methodological Report.</w:t>
      </w:r>
    </w:p>
    <w:p w14:paraId="68D07FBF" w14:textId="77777777" w:rsidR="00665C06" w:rsidRPr="003C06E0" w:rsidRDefault="00665C06" w:rsidP="00A42B88">
      <w:pPr>
        <w:spacing w:line="168" w:lineRule="auto"/>
        <w:ind w:right="1440"/>
        <w:rPr>
          <w:rFonts w:cs="Calibri"/>
          <w:lang w:val="en-CA"/>
        </w:rPr>
      </w:pPr>
    </w:p>
    <w:p w14:paraId="77BEBB14" w14:textId="6111383D" w:rsidR="000D2E25" w:rsidRPr="003C06E0" w:rsidRDefault="000D2E25" w:rsidP="000D2E25">
      <w:pPr>
        <w:ind w:right="11"/>
        <w:rPr>
          <w:rFonts w:cs="Calibri"/>
          <w:lang w:val="fr-FR"/>
        </w:rPr>
      </w:pPr>
      <w:r w:rsidRPr="003C06E0">
        <w:rPr>
          <w:rFonts w:cs="Calibri"/>
          <w:lang w:val="fr-FR"/>
        </w:rPr>
        <w:t xml:space="preserve">Cette publication peut être reproduite à des fins non commerciales seulement. Il faut obtenir une permission écrite au préalable du ministère de la Défense nationale. Pour de plus amples renseignements sur ce rapport, veuillez écrire au ministère de la Défense nationale à l’adresse électronique </w:t>
      </w:r>
      <w:hyperlink r:id="rId11" w:history="1">
        <w:r w:rsidR="00842BDB" w:rsidRPr="003C06E0">
          <w:rPr>
            <w:rStyle w:val="Hyperlink"/>
            <w:rFonts w:cs="Calibri"/>
            <w:color w:val="auto"/>
            <w:lang w:val="fr-FR"/>
          </w:rPr>
          <w:t>POR-ROP@forces.gc.ca</w:t>
        </w:r>
      </w:hyperlink>
      <w:r w:rsidR="00842BDB" w:rsidRPr="003C06E0">
        <w:rPr>
          <w:rFonts w:cs="Calibri"/>
          <w:lang w:val="fr-FR"/>
        </w:rPr>
        <w:t xml:space="preserve"> </w:t>
      </w:r>
      <w:r w:rsidRPr="003C06E0">
        <w:rPr>
          <w:rFonts w:cs="Calibri"/>
          <w:lang w:val="fr-FR"/>
        </w:rPr>
        <w:t>ou encore à l’adresse suivante :</w:t>
      </w:r>
    </w:p>
    <w:p w14:paraId="6B1BE925" w14:textId="77777777" w:rsidR="000D2E25" w:rsidRPr="003C06E0" w:rsidRDefault="000D2E25" w:rsidP="00E15ECC">
      <w:pPr>
        <w:spacing w:line="168" w:lineRule="auto"/>
        <w:ind w:right="-272"/>
        <w:rPr>
          <w:rFonts w:cs="Calibri"/>
          <w:lang w:val="fr-FR"/>
        </w:rPr>
      </w:pPr>
    </w:p>
    <w:p w14:paraId="28CC2C73" w14:textId="13DC1E09" w:rsidR="000D2E25" w:rsidRPr="003C06E0" w:rsidRDefault="00451245" w:rsidP="000D2E25">
      <w:pPr>
        <w:ind w:right="1440"/>
        <w:rPr>
          <w:rFonts w:cs="Calibri"/>
          <w:lang w:val="en-CA"/>
        </w:rPr>
      </w:pPr>
      <w:r w:rsidRPr="003C06E0">
        <w:rPr>
          <w:rFonts w:cs="Calibri"/>
          <w:lang w:val="en-CA"/>
        </w:rPr>
        <w:t>60</w:t>
      </w:r>
      <w:r w:rsidR="000D2E25" w:rsidRPr="003C06E0">
        <w:rPr>
          <w:rFonts w:cs="Calibri"/>
          <w:lang w:val="en-CA"/>
        </w:rPr>
        <w:t xml:space="preserve">, promenade </w:t>
      </w:r>
      <w:r w:rsidRPr="003C06E0">
        <w:rPr>
          <w:rFonts w:cs="Calibri"/>
          <w:lang w:val="en-CA"/>
        </w:rPr>
        <w:t>Moodie</w:t>
      </w:r>
    </w:p>
    <w:p w14:paraId="3BD202EE" w14:textId="7E78E99A" w:rsidR="000D2E25" w:rsidRPr="003C06E0" w:rsidRDefault="00451245" w:rsidP="000D2E25">
      <w:pPr>
        <w:ind w:right="1440"/>
        <w:rPr>
          <w:rFonts w:cs="Calibri"/>
          <w:szCs w:val="22"/>
          <w:lang w:val="en-CA"/>
        </w:rPr>
      </w:pPr>
      <w:r w:rsidRPr="003C06E0">
        <w:rPr>
          <w:rFonts w:cs="Calibri"/>
          <w:lang w:val="en-CA"/>
        </w:rPr>
        <w:t>Nepean</w:t>
      </w:r>
      <w:r w:rsidR="000D2E25" w:rsidRPr="003C06E0">
        <w:rPr>
          <w:rFonts w:cs="Calibri"/>
          <w:lang w:val="en-CA"/>
        </w:rPr>
        <w:t xml:space="preserve"> (Ontario) </w:t>
      </w:r>
      <w:r w:rsidR="00FF60FF" w:rsidRPr="003C06E0">
        <w:rPr>
          <w:rFonts w:cs="Calibri"/>
          <w:lang w:val="en-CA"/>
        </w:rPr>
        <w:t>K2H 8G1</w:t>
      </w:r>
    </w:p>
    <w:p w14:paraId="02C7456C" w14:textId="77777777" w:rsidR="000D2E25" w:rsidRPr="003C06E0" w:rsidRDefault="000D2E25" w:rsidP="000D2E25">
      <w:pPr>
        <w:ind w:right="1440"/>
        <w:rPr>
          <w:rFonts w:cs="Calibri"/>
          <w:szCs w:val="22"/>
          <w:lang w:val="en-CA"/>
        </w:rPr>
      </w:pPr>
      <w:r w:rsidRPr="003C06E0">
        <w:rPr>
          <w:rFonts w:cs="Calibri"/>
          <w:lang w:val="en-CA"/>
        </w:rPr>
        <w:t>Canada</w:t>
      </w:r>
    </w:p>
    <w:p w14:paraId="31BEF55C" w14:textId="77777777" w:rsidR="000D2E25" w:rsidRPr="003C06E0" w:rsidRDefault="000D2E25" w:rsidP="008E66B0">
      <w:pPr>
        <w:ind w:right="-272"/>
        <w:rPr>
          <w:rFonts w:cs="Calibri"/>
          <w:lang w:val="fr-FR"/>
        </w:rPr>
      </w:pPr>
    </w:p>
    <w:p w14:paraId="0E861582" w14:textId="01F96606" w:rsidR="00622136" w:rsidRPr="00F72D53" w:rsidRDefault="000D2E25" w:rsidP="000D2E25">
      <w:pPr>
        <w:ind w:right="1440"/>
        <w:rPr>
          <w:rFonts w:cs="Calibri"/>
          <w:bCs/>
          <w:lang w:val="fr-FR"/>
        </w:rPr>
      </w:pPr>
      <w:r w:rsidRPr="00F72D53">
        <w:rPr>
          <w:rFonts w:cs="Calibri"/>
          <w:bCs/>
          <w:lang w:val="fr-FR"/>
        </w:rPr>
        <w:t xml:space="preserve">Numéro de catalogue : </w:t>
      </w:r>
      <w:r w:rsidR="000D612C" w:rsidRPr="00F72D53">
        <w:rPr>
          <w:rFonts w:cs="Calibri"/>
          <w:bCs/>
          <w:lang w:val="fr-CA"/>
        </w:rPr>
        <w:t>D2-411/2023F-PDF</w:t>
      </w:r>
    </w:p>
    <w:p w14:paraId="48F3C895" w14:textId="77777777" w:rsidR="00622136" w:rsidRPr="00F72D53" w:rsidRDefault="00622136" w:rsidP="008E66B0">
      <w:pPr>
        <w:ind w:right="-272"/>
        <w:rPr>
          <w:rFonts w:cs="Calibri"/>
          <w:bCs/>
          <w:lang w:val="fr-FR"/>
        </w:rPr>
      </w:pPr>
    </w:p>
    <w:p w14:paraId="25CACA4B" w14:textId="7C8E7EFC" w:rsidR="00DC1FDC" w:rsidRPr="00F72D53" w:rsidRDefault="000D2E25" w:rsidP="00DC1FDC">
      <w:pPr>
        <w:rPr>
          <w:rFonts w:cs="Calibri"/>
          <w:bCs/>
          <w:lang w:val="fr-FR"/>
        </w:rPr>
      </w:pPr>
      <w:r w:rsidRPr="00F72D53">
        <w:rPr>
          <w:rFonts w:cs="Calibri"/>
          <w:bCs/>
          <w:lang w:val="fr-FR"/>
        </w:rPr>
        <w:t xml:space="preserve">Numéro international normalisé du livre (ISBN) : </w:t>
      </w:r>
      <w:r w:rsidR="000D612C" w:rsidRPr="00F72D53">
        <w:rPr>
          <w:rFonts w:cs="Calibri"/>
          <w:bCs/>
          <w:lang w:val="fr-CA"/>
        </w:rPr>
        <w:t>978-0-660-47878-4</w:t>
      </w:r>
      <w:r w:rsidR="00DC1FDC" w:rsidRPr="00F72D53">
        <w:rPr>
          <w:rFonts w:cs="Calibri"/>
          <w:bCs/>
          <w:lang w:val="fr-CA"/>
        </w:rPr>
        <w:t xml:space="preserve"> </w:t>
      </w:r>
    </w:p>
    <w:p w14:paraId="2CC53997" w14:textId="77777777" w:rsidR="00622136" w:rsidRPr="00F72D53" w:rsidRDefault="00622136" w:rsidP="008E66B0">
      <w:pPr>
        <w:ind w:right="-272"/>
        <w:rPr>
          <w:rFonts w:cs="Calibri"/>
          <w:bCs/>
          <w:lang w:val="fr-FR"/>
        </w:rPr>
      </w:pPr>
    </w:p>
    <w:p w14:paraId="253F26DB" w14:textId="07A40ECB" w:rsidR="00622136" w:rsidRPr="00F72D53" w:rsidRDefault="000D2E25" w:rsidP="00F10F0C">
      <w:pPr>
        <w:ind w:right="1440"/>
        <w:rPr>
          <w:rFonts w:cs="Calibri"/>
          <w:bCs/>
          <w:lang w:val="fr-FR"/>
        </w:rPr>
      </w:pPr>
      <w:bookmarkStart w:id="9" w:name="_Hlk72930498"/>
      <w:r w:rsidRPr="00F72D53">
        <w:rPr>
          <w:rFonts w:cs="Calibri"/>
          <w:bCs/>
          <w:lang w:val="fr-FR"/>
        </w:rPr>
        <w:t xml:space="preserve">Publications connexes (numéro </w:t>
      </w:r>
      <w:proofErr w:type="gramStart"/>
      <w:r w:rsidRPr="00F72D53">
        <w:rPr>
          <w:rFonts w:cs="Calibri"/>
          <w:bCs/>
          <w:lang w:val="fr-FR"/>
        </w:rPr>
        <w:t>d’enregistrement:</w:t>
      </w:r>
      <w:proofErr w:type="gramEnd"/>
      <w:r w:rsidRPr="00F72D53">
        <w:rPr>
          <w:rFonts w:cs="Calibri"/>
          <w:bCs/>
          <w:lang w:val="fr-FR"/>
        </w:rPr>
        <w:t xml:space="preserve"> </w:t>
      </w:r>
      <w:r w:rsidR="0085689D" w:rsidRPr="00F72D53">
        <w:rPr>
          <w:rFonts w:cs="Calibri"/>
          <w:bCs/>
          <w:lang w:val="fr-FR"/>
        </w:rPr>
        <w:t xml:space="preserve">POR </w:t>
      </w:r>
      <w:r w:rsidR="000D612C" w:rsidRPr="00F72D53">
        <w:rPr>
          <w:rFonts w:cs="Calibri"/>
          <w:bCs/>
          <w:lang w:val="fr-FR"/>
        </w:rPr>
        <w:t>009-22</w:t>
      </w:r>
      <w:r w:rsidR="00622136" w:rsidRPr="00F72D53">
        <w:rPr>
          <w:rFonts w:cs="Calibri"/>
          <w:bCs/>
          <w:lang w:val="fr-FR"/>
        </w:rPr>
        <w:t>)</w:t>
      </w:r>
    </w:p>
    <w:bookmarkEnd w:id="9"/>
    <w:p w14:paraId="02C2609A" w14:textId="77777777" w:rsidR="00622136" w:rsidRPr="00F72D53" w:rsidRDefault="00622136" w:rsidP="008E66B0">
      <w:pPr>
        <w:ind w:right="-272"/>
        <w:rPr>
          <w:rFonts w:cs="Calibri"/>
          <w:bCs/>
          <w:lang w:val="fr-FR"/>
        </w:rPr>
      </w:pPr>
    </w:p>
    <w:p w14:paraId="028DD2C9" w14:textId="5EBC1FF4" w:rsidR="00DC1FDC" w:rsidRPr="00F72D53" w:rsidRDefault="000D2E25" w:rsidP="00DC1FDC">
      <w:pPr>
        <w:rPr>
          <w:rFonts w:cs="Calibri"/>
          <w:bCs/>
          <w:lang w:val="fr-CA"/>
        </w:rPr>
      </w:pPr>
      <w:r w:rsidRPr="00F72D53">
        <w:rPr>
          <w:rFonts w:cs="Calibri"/>
          <w:bCs/>
          <w:lang w:val="fr-FR"/>
        </w:rPr>
        <w:t>Numéro de catalogue (Rapport de méthodologie final, anglais)</w:t>
      </w:r>
      <w:r w:rsidR="00DC1FDC" w:rsidRPr="00F72D53">
        <w:rPr>
          <w:rFonts w:cs="Calibri"/>
          <w:bCs/>
          <w:lang w:val="fr-FR"/>
        </w:rPr>
        <w:t> :</w:t>
      </w:r>
      <w:r w:rsidR="00DC1FDC" w:rsidRPr="00F72D53">
        <w:rPr>
          <w:rFonts w:cs="Calibri"/>
          <w:bCs/>
          <w:lang w:val="fr-CA"/>
        </w:rPr>
        <w:t xml:space="preserve"> </w:t>
      </w:r>
      <w:r w:rsidR="009F40CF" w:rsidRPr="00F72D53">
        <w:rPr>
          <w:rFonts w:cs="Calibri"/>
          <w:bCs/>
          <w:lang w:val="es-ES"/>
        </w:rPr>
        <w:t>D2-411/2023E-PDF</w:t>
      </w:r>
    </w:p>
    <w:p w14:paraId="10354228" w14:textId="77777777" w:rsidR="00622136" w:rsidRPr="00F72D53" w:rsidRDefault="00622136" w:rsidP="008E66B0">
      <w:pPr>
        <w:ind w:right="-272"/>
        <w:rPr>
          <w:rFonts w:cs="Calibri"/>
          <w:bCs/>
          <w:lang w:val="fr-FR"/>
        </w:rPr>
      </w:pPr>
    </w:p>
    <w:p w14:paraId="7E68C661" w14:textId="23447821" w:rsidR="00E247A3" w:rsidRPr="003C06E0" w:rsidRDefault="000D2E25" w:rsidP="00F10F0C">
      <w:pPr>
        <w:rPr>
          <w:rFonts w:cs="Calibri"/>
          <w:lang w:val="fr-FR"/>
        </w:rPr>
      </w:pPr>
      <w:r w:rsidRPr="00F72D53">
        <w:rPr>
          <w:rFonts w:cs="Calibri"/>
          <w:bCs/>
          <w:lang w:val="fr-FR"/>
        </w:rPr>
        <w:t xml:space="preserve">ISBN (anglais) : </w:t>
      </w:r>
      <w:r w:rsidR="009F40CF" w:rsidRPr="00F72D53">
        <w:rPr>
          <w:rFonts w:cs="Calibri"/>
          <w:bCs/>
          <w:lang w:val="es-ES"/>
        </w:rPr>
        <w:t>978-</w:t>
      </w:r>
      <w:r w:rsidR="009F40CF" w:rsidRPr="003C06E0">
        <w:rPr>
          <w:rFonts w:cs="Calibri"/>
          <w:lang w:val="es-ES"/>
        </w:rPr>
        <w:t>0-660-47877-7</w:t>
      </w:r>
    </w:p>
    <w:p w14:paraId="01305601" w14:textId="77777777" w:rsidR="00622136" w:rsidRPr="008E66B0" w:rsidRDefault="00622136" w:rsidP="008E66B0">
      <w:pPr>
        <w:ind w:right="-272"/>
        <w:rPr>
          <w:rFonts w:cs="Calibri"/>
          <w:bCs/>
          <w:lang w:val="fr-FR"/>
        </w:rPr>
      </w:pPr>
    </w:p>
    <w:p w14:paraId="73B0EF1B" w14:textId="01FB1478" w:rsidR="000D2E25" w:rsidRPr="00F72D53" w:rsidRDefault="000D2E25" w:rsidP="000D2E25">
      <w:pPr>
        <w:ind w:right="11"/>
        <w:rPr>
          <w:rFonts w:cs="Calibri"/>
          <w:iCs/>
          <w:lang w:val="fr-FR"/>
        </w:rPr>
      </w:pPr>
      <w:r w:rsidRPr="00F72D53">
        <w:rPr>
          <w:rFonts w:cs="Calibri"/>
          <w:iCs/>
          <w:lang w:val="fr-FR"/>
        </w:rPr>
        <w:t>© Sa Majesté l</w:t>
      </w:r>
      <w:r w:rsidR="00963DD2" w:rsidRPr="00F72D53">
        <w:rPr>
          <w:rFonts w:cs="Calibri"/>
          <w:iCs/>
          <w:lang w:val="fr-FR"/>
        </w:rPr>
        <w:t>e</w:t>
      </w:r>
      <w:r w:rsidRPr="00F72D53">
        <w:rPr>
          <w:rFonts w:cs="Calibri"/>
          <w:iCs/>
          <w:lang w:val="fr-FR"/>
        </w:rPr>
        <w:t xml:space="preserve"> </w:t>
      </w:r>
      <w:r w:rsidR="00963DD2" w:rsidRPr="00F72D53">
        <w:rPr>
          <w:rFonts w:cs="Calibri"/>
          <w:iCs/>
          <w:lang w:val="fr-FR"/>
        </w:rPr>
        <w:t>Roi</w:t>
      </w:r>
      <w:r w:rsidRPr="00F72D53">
        <w:rPr>
          <w:rFonts w:cs="Calibri"/>
          <w:iCs/>
          <w:lang w:val="fr-FR"/>
        </w:rPr>
        <w:t xml:space="preserve"> du chef du Canada, représentée par la ministre du ministère de la Défense nationale, 202</w:t>
      </w:r>
      <w:r w:rsidR="00572143" w:rsidRPr="00F72D53">
        <w:rPr>
          <w:rFonts w:cs="Calibri"/>
          <w:iCs/>
          <w:lang w:val="fr-FR"/>
        </w:rPr>
        <w:t>3</w:t>
      </w:r>
    </w:p>
    <w:p w14:paraId="184CE390" w14:textId="77777777" w:rsidR="003C06E0" w:rsidRPr="008E66B0" w:rsidRDefault="003C06E0" w:rsidP="008E66B0">
      <w:pPr>
        <w:ind w:right="-272"/>
        <w:rPr>
          <w:rFonts w:cs="Calibri"/>
          <w:bCs/>
          <w:lang w:val="fr-FR"/>
        </w:rPr>
      </w:pPr>
    </w:p>
    <w:p w14:paraId="6182F97D" w14:textId="724B11B7" w:rsidR="000D2E25" w:rsidRPr="003C06E0" w:rsidRDefault="000D2E25" w:rsidP="00113CC2">
      <w:pPr>
        <w:pStyle w:val="Heading2"/>
        <w:rPr>
          <w:rFonts w:ascii="Calibri" w:hAnsi="Calibri" w:cs="Calibri"/>
          <w:color w:val="auto"/>
          <w:lang w:val="fr-CA"/>
        </w:rPr>
      </w:pPr>
      <w:bookmarkStart w:id="10" w:name="_Toc16681176"/>
      <w:bookmarkStart w:id="11" w:name="_Toc77949533"/>
      <w:bookmarkStart w:id="12" w:name="_Toc79062369"/>
      <w:bookmarkStart w:id="13" w:name="_Toc99008837"/>
      <w:bookmarkStart w:id="14" w:name="_Toc3971521"/>
      <w:bookmarkEnd w:id="3"/>
      <w:r w:rsidRPr="003C06E0">
        <w:rPr>
          <w:rFonts w:ascii="Calibri" w:hAnsi="Calibri" w:cs="Calibri"/>
          <w:color w:val="auto"/>
          <w:lang w:val="fr-CA"/>
        </w:rPr>
        <w:t>Sommaire</w:t>
      </w:r>
      <w:bookmarkEnd w:id="10"/>
      <w:bookmarkEnd w:id="11"/>
      <w:bookmarkEnd w:id="12"/>
      <w:bookmarkEnd w:id="13"/>
      <w:r w:rsidRPr="003C06E0">
        <w:rPr>
          <w:rFonts w:ascii="Calibri" w:hAnsi="Calibri" w:cs="Calibri"/>
          <w:color w:val="auto"/>
          <w:lang w:val="fr-CA"/>
        </w:rPr>
        <w:t xml:space="preserve"> </w:t>
      </w:r>
      <w:bookmarkEnd w:id="14"/>
    </w:p>
    <w:p w14:paraId="78AA1303" w14:textId="77777777" w:rsidR="000D2E25" w:rsidRPr="003C06E0" w:rsidRDefault="000D2E25" w:rsidP="000D2E25">
      <w:pPr>
        <w:spacing w:line="192" w:lineRule="auto"/>
        <w:rPr>
          <w:rFonts w:cs="Calibri"/>
          <w:lang w:val="fr-FR"/>
        </w:rPr>
      </w:pPr>
    </w:p>
    <w:p w14:paraId="2FA85BCB" w14:textId="77777777" w:rsidR="000D2E25" w:rsidRPr="00F72D53" w:rsidRDefault="000D2E25" w:rsidP="006735FB">
      <w:pPr>
        <w:rPr>
          <w:rFonts w:cs="Calibri"/>
          <w:b/>
          <w:bCs/>
          <w:sz w:val="28"/>
          <w:szCs w:val="28"/>
          <w:lang w:val="fr-CA" w:eastAsia="fr-CA" w:bidi="fr-CA"/>
        </w:rPr>
      </w:pPr>
      <w:bookmarkStart w:id="15" w:name="_Toc3971522"/>
      <w:bookmarkStart w:id="16" w:name="_Toc16681177"/>
      <w:bookmarkStart w:id="17" w:name="_Toc77949534"/>
      <w:bookmarkStart w:id="18" w:name="_Toc79062370"/>
      <w:r w:rsidRPr="00F72D53">
        <w:rPr>
          <w:rFonts w:cs="Calibri"/>
          <w:b/>
          <w:bCs/>
          <w:sz w:val="28"/>
          <w:szCs w:val="28"/>
          <w:lang w:val="fr-CA" w:eastAsia="fr-CA" w:bidi="fr-CA"/>
        </w:rPr>
        <w:t>Contexte</w:t>
      </w:r>
      <w:bookmarkEnd w:id="15"/>
      <w:bookmarkEnd w:id="16"/>
      <w:bookmarkEnd w:id="17"/>
      <w:bookmarkEnd w:id="18"/>
    </w:p>
    <w:p w14:paraId="69CAFB97" w14:textId="77777777" w:rsidR="00F20A53" w:rsidRPr="003C06E0" w:rsidRDefault="00F20A53" w:rsidP="003C06E0">
      <w:pPr>
        <w:spacing w:line="192" w:lineRule="auto"/>
        <w:rPr>
          <w:rFonts w:cs="Calibri"/>
          <w:lang w:val="fr-FR"/>
        </w:rPr>
      </w:pPr>
    </w:p>
    <w:p w14:paraId="7692D7C5" w14:textId="4CC15A46" w:rsidR="000D2E25" w:rsidRPr="003C06E0" w:rsidRDefault="000D2E25" w:rsidP="000D2E25">
      <w:pPr>
        <w:pStyle w:val="BodyText"/>
        <w:spacing w:after="0"/>
        <w:rPr>
          <w:rFonts w:cs="Calibri"/>
          <w:lang w:val="fr-FR"/>
        </w:rPr>
      </w:pPr>
      <w:r w:rsidRPr="003C06E0">
        <w:rPr>
          <w:rFonts w:cs="Calibri"/>
          <w:lang w:val="fr-FR"/>
        </w:rPr>
        <w:t xml:space="preserve">Une solide stratégie marketing de recrutement fait partie intégrante de l’atteinte des priorités liées au maintien de l’état de préparation de la Défense et des Forces armées canadiennes (FAC). Le sous-ministre adjoint (Affaires publiques) (SMA (AP)) appuie les stratégies de recrutements des FAC. Les initiatives de marketing et de publicité sur le recrutement sont élaborées afin d’informer les Canadiens, </w:t>
      </w:r>
      <w:r w:rsidR="00A179AA" w:rsidRPr="003C06E0">
        <w:rPr>
          <w:rFonts w:cs="Calibri"/>
          <w:lang w:val="fr-FR"/>
        </w:rPr>
        <w:t xml:space="preserve">avec un accent particulier sur les femmes et les minorités visibles, </w:t>
      </w:r>
      <w:r w:rsidRPr="003C06E0">
        <w:rPr>
          <w:rFonts w:cs="Calibri"/>
          <w:lang w:val="fr-FR"/>
        </w:rPr>
        <w:t>des possibilités de carrière offertes au sein des FAC et de soutenir le Plan stratégique de recrutement.</w:t>
      </w:r>
    </w:p>
    <w:p w14:paraId="46EC695C" w14:textId="77777777" w:rsidR="000D2E25" w:rsidRPr="003C06E0" w:rsidRDefault="000D2E25" w:rsidP="00F20A53">
      <w:pPr>
        <w:rPr>
          <w:rFonts w:cs="Calibri"/>
          <w:lang w:val="fr-FR"/>
        </w:rPr>
      </w:pPr>
    </w:p>
    <w:p w14:paraId="750474DC" w14:textId="522EE13B" w:rsidR="00B23955" w:rsidRPr="003C06E0" w:rsidRDefault="004A1276" w:rsidP="00F20A53">
      <w:pPr>
        <w:autoSpaceDE w:val="0"/>
        <w:autoSpaceDN w:val="0"/>
        <w:adjustRightInd w:val="0"/>
        <w:rPr>
          <w:rFonts w:cs="Calibri"/>
          <w:lang w:val="fr-FR"/>
        </w:rPr>
      </w:pPr>
      <w:r w:rsidRPr="003C06E0">
        <w:rPr>
          <w:rFonts w:cs="Calibri"/>
          <w:lang w:val="fr-FR"/>
        </w:rPr>
        <w:t xml:space="preserve">Chaque année, les FAC doivent enrôler des membres dans la Force régulière (temps plein) et la Force de réserve (temps partiel) afin de se conformer </w:t>
      </w:r>
      <w:proofErr w:type="gramStart"/>
      <w:r w:rsidRPr="003C06E0">
        <w:rPr>
          <w:rFonts w:cs="Calibri"/>
          <w:lang w:val="fr-FR"/>
        </w:rPr>
        <w:t>au</w:t>
      </w:r>
      <w:proofErr w:type="gramEnd"/>
      <w:r w:rsidRPr="003C06E0">
        <w:rPr>
          <w:rFonts w:cs="Calibri"/>
          <w:lang w:val="fr-FR"/>
        </w:rPr>
        <w:t xml:space="preserve"> Plan stratégique de recrutement. </w:t>
      </w:r>
      <w:r w:rsidR="00A179AA" w:rsidRPr="003C06E0">
        <w:rPr>
          <w:rFonts w:cs="Calibri"/>
          <w:lang w:val="fr-FR"/>
        </w:rPr>
        <w:t>Plus précisément, la campagne de sensibilisation 202</w:t>
      </w:r>
      <w:r w:rsidR="00572143" w:rsidRPr="003C06E0">
        <w:rPr>
          <w:rFonts w:cs="Calibri"/>
          <w:lang w:val="fr-FR"/>
        </w:rPr>
        <w:t>2</w:t>
      </w:r>
      <w:r w:rsidR="00A179AA" w:rsidRPr="003C06E0">
        <w:rPr>
          <w:rFonts w:cs="Calibri"/>
          <w:lang w:val="fr-FR"/>
        </w:rPr>
        <w:t>-202</w:t>
      </w:r>
      <w:r w:rsidR="00572143" w:rsidRPr="003C06E0">
        <w:rPr>
          <w:rFonts w:cs="Calibri"/>
          <w:lang w:val="fr-FR"/>
        </w:rPr>
        <w:t>3</w:t>
      </w:r>
      <w:r w:rsidR="00A179AA" w:rsidRPr="003C06E0">
        <w:rPr>
          <w:rFonts w:cs="Calibri"/>
          <w:lang w:val="fr-FR"/>
        </w:rPr>
        <w:t xml:space="preserve"> des FAC continue de cibler les Canadiens âgés de 18 à 34 ans, dans le but d’accroître l’intérêt et la considération pour les emplois des FAC en attirant l’attention sur la pertinence de ses programmes de formation, d’éducation et de développement de carrière. Afin d’atteindre les objectifs de recrutement fixés, le MDN a lancé une campagne de recrutement des FAC à plusieurs volets, soit une campagne de sensibilisation générale, une campagne sur les professions prioritaires, une campagne axée sur les femmes, une campagne sur les Autochtones</w:t>
      </w:r>
      <w:r w:rsidR="006C2026" w:rsidRPr="003C06E0">
        <w:rPr>
          <w:rFonts w:cs="Calibri"/>
          <w:lang w:val="fr-FR"/>
        </w:rPr>
        <w:t>, une campagne sur l’éducation rémunérée</w:t>
      </w:r>
      <w:r w:rsidR="00A179AA" w:rsidRPr="003C06E0">
        <w:rPr>
          <w:rFonts w:cs="Calibri"/>
          <w:lang w:val="fr-FR"/>
        </w:rPr>
        <w:t xml:space="preserve"> et une campagne sur les réserves.</w:t>
      </w:r>
      <w:r w:rsidR="009920B4" w:rsidRPr="003C06E0">
        <w:rPr>
          <w:rFonts w:cs="Calibri"/>
          <w:lang w:val="fr-CA"/>
        </w:rPr>
        <w:t xml:space="preserve"> </w:t>
      </w:r>
      <w:r w:rsidR="009920B4" w:rsidRPr="003C06E0">
        <w:rPr>
          <w:rFonts w:cs="Calibri"/>
          <w:lang w:val="fr-FR"/>
        </w:rPr>
        <w:t xml:space="preserve">En 2023, </w:t>
      </w:r>
      <w:r w:rsidR="009344E1" w:rsidRPr="003C06E0">
        <w:rPr>
          <w:rFonts w:cs="Calibri"/>
          <w:lang w:val="fr-FR"/>
        </w:rPr>
        <w:t>de nouveaux documents</w:t>
      </w:r>
      <w:r w:rsidR="009920B4" w:rsidRPr="003C06E0">
        <w:rPr>
          <w:rFonts w:cs="Calibri"/>
          <w:lang w:val="fr-FR"/>
        </w:rPr>
        <w:t xml:space="preserve"> de campagne </w:t>
      </w:r>
      <w:r w:rsidR="009344E1" w:rsidRPr="003C06E0">
        <w:rPr>
          <w:rFonts w:cs="Calibri"/>
          <w:lang w:val="fr-FR"/>
        </w:rPr>
        <w:t>ont</w:t>
      </w:r>
      <w:r w:rsidR="009920B4" w:rsidRPr="003C06E0">
        <w:rPr>
          <w:rFonts w:cs="Calibri"/>
          <w:lang w:val="fr-FR"/>
        </w:rPr>
        <w:t xml:space="preserve"> été élaboré</w:t>
      </w:r>
      <w:r w:rsidR="009344E1" w:rsidRPr="003C06E0">
        <w:rPr>
          <w:rFonts w:cs="Calibri"/>
          <w:lang w:val="fr-FR"/>
        </w:rPr>
        <w:t>s</w:t>
      </w:r>
      <w:r w:rsidR="009920B4" w:rsidRPr="003C06E0">
        <w:rPr>
          <w:rFonts w:cs="Calibri"/>
          <w:lang w:val="fr-FR"/>
        </w:rPr>
        <w:t xml:space="preserve"> pour le recrutement des F</w:t>
      </w:r>
      <w:r w:rsidR="009344E1" w:rsidRPr="003C06E0">
        <w:rPr>
          <w:rFonts w:cs="Calibri"/>
          <w:lang w:val="fr-FR"/>
        </w:rPr>
        <w:t>AC</w:t>
      </w:r>
      <w:r w:rsidR="009920B4" w:rsidRPr="003C06E0">
        <w:rPr>
          <w:rFonts w:cs="Calibri"/>
          <w:lang w:val="fr-FR"/>
        </w:rPr>
        <w:t xml:space="preserve"> en 2023. Ainsi, l</w:t>
      </w:r>
      <w:r w:rsidR="009344E1" w:rsidRPr="003C06E0">
        <w:rPr>
          <w:rFonts w:cs="Calibri"/>
          <w:lang w:val="fr-FR"/>
        </w:rPr>
        <w:t xml:space="preserve">e sondage </w:t>
      </w:r>
      <w:r w:rsidR="009920B4" w:rsidRPr="003C06E0">
        <w:rPr>
          <w:rFonts w:cs="Calibri"/>
          <w:lang w:val="fr-FR"/>
        </w:rPr>
        <w:t>l</w:t>
      </w:r>
      <w:r w:rsidR="009344E1" w:rsidRPr="003C06E0">
        <w:rPr>
          <w:rFonts w:cs="Calibri"/>
          <w:lang w:val="fr-FR"/>
        </w:rPr>
        <w:t>e</w:t>
      </w:r>
      <w:r w:rsidR="009920B4" w:rsidRPr="003C06E0">
        <w:rPr>
          <w:rFonts w:cs="Calibri"/>
          <w:lang w:val="fr-FR"/>
        </w:rPr>
        <w:t xml:space="preserve"> plus récent de février 2023 sert d</w:t>
      </w:r>
      <w:r w:rsidR="009344E1" w:rsidRPr="003C06E0">
        <w:rPr>
          <w:rFonts w:cs="Calibri"/>
          <w:lang w:val="fr-FR"/>
        </w:rPr>
        <w:t xml:space="preserve">e sondage </w:t>
      </w:r>
      <w:r w:rsidR="009920B4" w:rsidRPr="003C06E0">
        <w:rPr>
          <w:rFonts w:cs="Calibri"/>
          <w:lang w:val="fr-FR"/>
        </w:rPr>
        <w:t>de pré</w:t>
      </w:r>
      <w:r w:rsidR="00D07A31" w:rsidRPr="003C06E0">
        <w:rPr>
          <w:rFonts w:cs="Calibri"/>
          <w:lang w:val="fr-FR"/>
        </w:rPr>
        <w:t>-</w:t>
      </w:r>
      <w:r w:rsidR="009920B4" w:rsidRPr="003C06E0">
        <w:rPr>
          <w:rFonts w:cs="Calibri"/>
          <w:lang w:val="fr-FR"/>
        </w:rPr>
        <w:t>campagne pour le</w:t>
      </w:r>
      <w:r w:rsidR="009344E1" w:rsidRPr="003C06E0">
        <w:rPr>
          <w:rFonts w:cs="Calibri"/>
          <w:lang w:val="fr-FR"/>
        </w:rPr>
        <w:t>s</w:t>
      </w:r>
      <w:r w:rsidR="009920B4" w:rsidRPr="003C06E0">
        <w:rPr>
          <w:rFonts w:cs="Calibri"/>
          <w:lang w:val="fr-FR"/>
        </w:rPr>
        <w:t xml:space="preserve"> nouveau</w:t>
      </w:r>
      <w:r w:rsidR="009344E1" w:rsidRPr="003C06E0">
        <w:rPr>
          <w:rFonts w:cs="Calibri"/>
          <w:lang w:val="fr-FR"/>
        </w:rPr>
        <w:t>x</w:t>
      </w:r>
      <w:r w:rsidR="009920B4" w:rsidRPr="003C06E0">
        <w:rPr>
          <w:rFonts w:cs="Calibri"/>
          <w:lang w:val="fr-FR"/>
        </w:rPr>
        <w:t xml:space="preserve"> </w:t>
      </w:r>
      <w:r w:rsidR="009344E1" w:rsidRPr="003C06E0">
        <w:rPr>
          <w:rFonts w:cs="Calibri"/>
          <w:lang w:val="fr-FR"/>
        </w:rPr>
        <w:t xml:space="preserve">documents </w:t>
      </w:r>
      <w:r w:rsidR="009920B4" w:rsidRPr="003C06E0">
        <w:rPr>
          <w:rFonts w:cs="Calibri"/>
          <w:lang w:val="fr-FR"/>
        </w:rPr>
        <w:t>de campagne de 2023. Ainsi, les résultats présentés dans ce rapport sont appelés</w:t>
      </w:r>
      <w:r w:rsidR="009344E1" w:rsidRPr="003C06E0">
        <w:rPr>
          <w:rFonts w:cs="Calibri"/>
          <w:lang w:val="fr-FR"/>
        </w:rPr>
        <w:t xml:space="preserve"> sondage</w:t>
      </w:r>
      <w:r w:rsidR="009920B4" w:rsidRPr="003C06E0">
        <w:rPr>
          <w:rFonts w:cs="Calibri"/>
          <w:lang w:val="fr-FR"/>
        </w:rPr>
        <w:t xml:space="preserve"> post-campagne d</w:t>
      </w:r>
      <w:r w:rsidR="009344E1" w:rsidRPr="003C06E0">
        <w:rPr>
          <w:rFonts w:cs="Calibri"/>
          <w:lang w:val="fr-FR"/>
        </w:rPr>
        <w:t>’</w:t>
      </w:r>
      <w:r w:rsidR="009920B4" w:rsidRPr="003C06E0">
        <w:rPr>
          <w:rFonts w:cs="Calibri"/>
          <w:lang w:val="fr-FR"/>
        </w:rPr>
        <w:t>août</w:t>
      </w:r>
      <w:r w:rsidR="009344E1" w:rsidRPr="003C06E0">
        <w:rPr>
          <w:rFonts w:cs="Calibri"/>
          <w:lang w:val="fr-FR"/>
        </w:rPr>
        <w:t> </w:t>
      </w:r>
      <w:r w:rsidR="009920B4" w:rsidRPr="003C06E0">
        <w:rPr>
          <w:rFonts w:cs="Calibri"/>
          <w:lang w:val="fr-FR"/>
        </w:rPr>
        <w:t xml:space="preserve">2022 (pour la campagne 2022) et </w:t>
      </w:r>
      <w:r w:rsidR="009344E1" w:rsidRPr="003C06E0">
        <w:rPr>
          <w:rFonts w:cs="Calibri"/>
          <w:lang w:val="fr-FR"/>
        </w:rPr>
        <w:t xml:space="preserve">sondage </w:t>
      </w:r>
      <w:r w:rsidR="009920B4" w:rsidRPr="003C06E0">
        <w:rPr>
          <w:rFonts w:cs="Calibri"/>
          <w:lang w:val="fr-FR"/>
        </w:rPr>
        <w:t>pré</w:t>
      </w:r>
      <w:r w:rsidR="00D07A31" w:rsidRPr="003C06E0">
        <w:rPr>
          <w:rFonts w:cs="Calibri"/>
          <w:lang w:val="fr-FR"/>
        </w:rPr>
        <w:t>-</w:t>
      </w:r>
      <w:r w:rsidR="009920B4" w:rsidRPr="003C06E0">
        <w:rPr>
          <w:rFonts w:cs="Calibri"/>
          <w:lang w:val="fr-FR"/>
        </w:rPr>
        <w:t>campagne de février 2023 (pour la campagne 2023).</w:t>
      </w:r>
    </w:p>
    <w:p w14:paraId="779FB8DA" w14:textId="77777777" w:rsidR="00307A39" w:rsidRPr="003C06E0" w:rsidRDefault="00307A39" w:rsidP="00F20A53">
      <w:pPr>
        <w:pStyle w:val="BodyText"/>
        <w:spacing w:after="0"/>
        <w:rPr>
          <w:rFonts w:cs="Calibri"/>
          <w:lang w:val="fr-FR"/>
        </w:rPr>
      </w:pPr>
    </w:p>
    <w:p w14:paraId="2AF6AC48" w14:textId="27B3C1B8" w:rsidR="004A1276" w:rsidRPr="003C06E0" w:rsidRDefault="004A1276" w:rsidP="004A1276">
      <w:pPr>
        <w:rPr>
          <w:rFonts w:cs="Calibri"/>
          <w:lang w:val="fr-FR"/>
        </w:rPr>
      </w:pPr>
      <w:bookmarkStart w:id="19" w:name="_Toc476577467"/>
      <w:bookmarkStart w:id="20" w:name="_Toc476659612"/>
      <w:bookmarkStart w:id="21" w:name="_Toc468718008"/>
      <w:bookmarkStart w:id="22" w:name="_Toc468718223"/>
      <w:bookmarkStart w:id="23" w:name="_Toc469559083"/>
      <w:bookmarkStart w:id="24" w:name="_Toc469567943"/>
      <w:bookmarkStart w:id="25" w:name="_Toc469653905"/>
      <w:bookmarkStart w:id="26" w:name="_Toc525010762"/>
      <w:bookmarkStart w:id="27" w:name="_Toc527780178"/>
      <w:bookmarkStart w:id="28" w:name="_Toc535145606"/>
      <w:bookmarkStart w:id="29" w:name="_Toc536001421"/>
      <w:r w:rsidRPr="003C06E0">
        <w:rPr>
          <w:rFonts w:cs="Calibri"/>
          <w:lang w:val="fr-FR"/>
        </w:rPr>
        <w:t xml:space="preserve">L’étude dont il est ici question était obligatoire, car le Conseil du Trésor exige un post-test pour toute campagne publicitaire du gouvernement du Canada dont les coûts s’élèvent à plus d’un million de dollars. </w:t>
      </w:r>
    </w:p>
    <w:p w14:paraId="543C03BF" w14:textId="77777777" w:rsidR="004A1276" w:rsidRPr="003C06E0" w:rsidRDefault="004A1276" w:rsidP="003C06E0">
      <w:pPr>
        <w:pStyle w:val="BodyText"/>
        <w:spacing w:after="0"/>
        <w:rPr>
          <w:rFonts w:cs="Calibri"/>
          <w:lang w:val="fr-FR"/>
        </w:rPr>
      </w:pPr>
    </w:p>
    <w:p w14:paraId="1D689C11" w14:textId="77777777" w:rsidR="004A1276" w:rsidRPr="003C06E0" w:rsidRDefault="004A1276" w:rsidP="00113CC2">
      <w:pPr>
        <w:pStyle w:val="Heading3"/>
        <w:rPr>
          <w:rFonts w:ascii="Calibri" w:hAnsi="Calibri" w:cs="Calibri"/>
          <w:color w:val="auto"/>
          <w:lang w:val="fr-CA"/>
        </w:rPr>
      </w:pPr>
      <w:bookmarkStart w:id="30" w:name="_Toc16681178"/>
      <w:bookmarkStart w:id="31" w:name="_Toc77949535"/>
      <w:bookmarkStart w:id="32" w:name="_Toc79062371"/>
      <w:bookmarkStart w:id="33" w:name="_Toc99008838"/>
      <w:bookmarkStart w:id="34" w:name="_Toc3971523"/>
      <w:r w:rsidRPr="003C06E0">
        <w:rPr>
          <w:rFonts w:ascii="Calibri" w:hAnsi="Calibri" w:cs="Calibri"/>
          <w:color w:val="auto"/>
          <w:lang w:val="fr-CA"/>
        </w:rPr>
        <w:t>Objectifs de l’étude</w:t>
      </w:r>
      <w:bookmarkEnd w:id="30"/>
      <w:bookmarkEnd w:id="31"/>
      <w:bookmarkEnd w:id="32"/>
      <w:bookmarkEnd w:id="33"/>
      <w:r w:rsidRPr="003C06E0">
        <w:rPr>
          <w:rFonts w:ascii="Calibri" w:hAnsi="Calibri" w:cs="Calibri"/>
          <w:color w:val="auto"/>
          <w:lang w:val="fr-CA"/>
        </w:rPr>
        <w:t xml:space="preserve"> </w:t>
      </w:r>
      <w:bookmarkEnd w:id="34"/>
    </w:p>
    <w:p w14:paraId="41847B24" w14:textId="77777777" w:rsidR="00F20A53" w:rsidRPr="003C06E0" w:rsidRDefault="00F20A53" w:rsidP="003C06E0">
      <w:pPr>
        <w:rPr>
          <w:rFonts w:cs="Calibri"/>
          <w:lang w:val="fr-FR"/>
        </w:rPr>
      </w:pPr>
    </w:p>
    <w:bookmarkEnd w:id="19"/>
    <w:bookmarkEnd w:id="20"/>
    <w:p w14:paraId="7AC7912D" w14:textId="77777777" w:rsidR="004A1276" w:rsidRPr="003C06E0" w:rsidRDefault="004A1276" w:rsidP="004A1276">
      <w:pPr>
        <w:rPr>
          <w:rFonts w:cs="Calibri"/>
          <w:lang w:val="fr-FR"/>
        </w:rPr>
      </w:pPr>
      <w:r w:rsidRPr="003C06E0">
        <w:rPr>
          <w:rFonts w:cs="Calibri"/>
          <w:lang w:val="fr-FR"/>
        </w:rPr>
        <w:t>L’objectif de l’étude quantitative était d’évaluer le rappel de la campagne publicitaire et les réactions suscitées par celle-ci. Au plus haut niveau, l’objectif de cette étude est d’évaluer l’efficacité de la campagne publicitaire.  Plus précisément, les objectifs de la recherche étaient les suivants :</w:t>
      </w:r>
    </w:p>
    <w:p w14:paraId="55196BD9" w14:textId="77777777" w:rsidR="004A1276" w:rsidRPr="002E44AE" w:rsidRDefault="004A1276" w:rsidP="002E44AE">
      <w:pPr>
        <w:pStyle w:val="ListParagraph"/>
        <w:tabs>
          <w:tab w:val="num" w:pos="360"/>
        </w:tabs>
        <w:ind w:left="360" w:right="-138" w:hanging="360"/>
        <w:rPr>
          <w:rFonts w:cs="Calibri"/>
          <w:color w:val="auto"/>
          <w:szCs w:val="24"/>
        </w:rPr>
      </w:pPr>
    </w:p>
    <w:p w14:paraId="4B4B5174" w14:textId="77777777" w:rsidR="004A1276" w:rsidRPr="002E44AE" w:rsidRDefault="004A1276" w:rsidP="002E44AE">
      <w:pPr>
        <w:pStyle w:val="ListParagraph"/>
        <w:numPr>
          <w:ilvl w:val="0"/>
          <w:numId w:val="30"/>
        </w:numPr>
        <w:ind w:left="360" w:right="-138"/>
        <w:rPr>
          <w:rFonts w:cs="Calibri"/>
          <w:color w:val="auto"/>
          <w:szCs w:val="24"/>
        </w:rPr>
      </w:pPr>
      <w:r w:rsidRPr="002E44AE">
        <w:rPr>
          <w:rFonts w:cs="Calibri"/>
          <w:color w:val="auto"/>
          <w:szCs w:val="24"/>
        </w:rPr>
        <w:t xml:space="preserve">la </w:t>
      </w:r>
      <w:proofErr w:type="spellStart"/>
      <w:r w:rsidRPr="002E44AE">
        <w:rPr>
          <w:rFonts w:cs="Calibri"/>
          <w:color w:val="auto"/>
          <w:szCs w:val="24"/>
        </w:rPr>
        <w:t>mesure</w:t>
      </w:r>
      <w:proofErr w:type="spellEnd"/>
      <w:r w:rsidRPr="002E44AE">
        <w:rPr>
          <w:rFonts w:cs="Calibri"/>
          <w:color w:val="auto"/>
          <w:szCs w:val="24"/>
        </w:rPr>
        <w:t xml:space="preserve"> du rappel </w:t>
      </w:r>
      <w:proofErr w:type="spellStart"/>
      <w:r w:rsidRPr="008923EF">
        <w:rPr>
          <w:rFonts w:cs="Calibri"/>
          <w:b/>
          <w:bCs/>
          <w:color w:val="auto"/>
          <w:szCs w:val="24"/>
        </w:rPr>
        <w:t>spontané</w:t>
      </w:r>
      <w:proofErr w:type="spellEnd"/>
      <w:r w:rsidRPr="002E44AE">
        <w:rPr>
          <w:rFonts w:cs="Calibri"/>
          <w:color w:val="auto"/>
          <w:szCs w:val="24"/>
        </w:rPr>
        <w:t xml:space="preserve"> des </w:t>
      </w:r>
      <w:proofErr w:type="spellStart"/>
      <w:r w:rsidRPr="002E44AE">
        <w:rPr>
          <w:rFonts w:cs="Calibri"/>
          <w:color w:val="auto"/>
          <w:szCs w:val="24"/>
        </w:rPr>
        <w:t>publicités</w:t>
      </w:r>
      <w:proofErr w:type="spellEnd"/>
      <w:r w:rsidRPr="002E44AE">
        <w:rPr>
          <w:rFonts w:cs="Calibri"/>
          <w:color w:val="auto"/>
          <w:szCs w:val="24"/>
        </w:rPr>
        <w:t xml:space="preserve"> des FAC;</w:t>
      </w:r>
    </w:p>
    <w:p w14:paraId="1861280F" w14:textId="77777777" w:rsidR="004A1276" w:rsidRPr="002E44AE" w:rsidRDefault="004A1276" w:rsidP="002E44AE">
      <w:pPr>
        <w:pStyle w:val="ListParagraph"/>
        <w:numPr>
          <w:ilvl w:val="0"/>
          <w:numId w:val="30"/>
        </w:numPr>
        <w:ind w:left="360" w:right="-138"/>
        <w:rPr>
          <w:rFonts w:cs="Calibri"/>
          <w:color w:val="auto"/>
          <w:szCs w:val="24"/>
        </w:rPr>
      </w:pPr>
      <w:r w:rsidRPr="002E44AE">
        <w:rPr>
          <w:rFonts w:cs="Calibri"/>
          <w:color w:val="auto"/>
          <w:szCs w:val="24"/>
        </w:rPr>
        <w:t xml:space="preserve">la </w:t>
      </w:r>
      <w:proofErr w:type="spellStart"/>
      <w:r w:rsidRPr="002E44AE">
        <w:rPr>
          <w:rFonts w:cs="Calibri"/>
          <w:color w:val="auto"/>
          <w:szCs w:val="24"/>
        </w:rPr>
        <w:t>mesure</w:t>
      </w:r>
      <w:proofErr w:type="spellEnd"/>
      <w:r w:rsidRPr="002E44AE">
        <w:rPr>
          <w:rFonts w:cs="Calibri"/>
          <w:color w:val="auto"/>
          <w:szCs w:val="24"/>
        </w:rPr>
        <w:t xml:space="preserve"> du rappel </w:t>
      </w:r>
      <w:proofErr w:type="spellStart"/>
      <w:r w:rsidRPr="008923EF">
        <w:rPr>
          <w:rFonts w:cs="Calibri"/>
          <w:b/>
          <w:bCs/>
          <w:color w:val="auto"/>
          <w:szCs w:val="24"/>
        </w:rPr>
        <w:t>assisté</w:t>
      </w:r>
      <w:proofErr w:type="spellEnd"/>
      <w:r w:rsidRPr="00F72D53">
        <w:rPr>
          <w:rFonts w:cs="Calibri"/>
          <w:i/>
          <w:iCs/>
          <w:color w:val="auto"/>
          <w:szCs w:val="24"/>
        </w:rPr>
        <w:t xml:space="preserve"> </w:t>
      </w:r>
      <w:r w:rsidRPr="002E44AE">
        <w:rPr>
          <w:rFonts w:cs="Calibri"/>
          <w:color w:val="auto"/>
          <w:szCs w:val="24"/>
        </w:rPr>
        <w:t>des publicités des FAC;</w:t>
      </w:r>
    </w:p>
    <w:p w14:paraId="5FEFF588" w14:textId="77777777" w:rsidR="004A1276" w:rsidRPr="002E44AE" w:rsidRDefault="004A1276" w:rsidP="002E44AE">
      <w:pPr>
        <w:pStyle w:val="ListParagraph"/>
        <w:numPr>
          <w:ilvl w:val="0"/>
          <w:numId w:val="30"/>
        </w:numPr>
        <w:ind w:left="360" w:right="-138"/>
        <w:rPr>
          <w:rFonts w:cs="Calibri"/>
          <w:color w:val="auto"/>
          <w:szCs w:val="24"/>
        </w:rPr>
      </w:pPr>
      <w:proofErr w:type="spellStart"/>
      <w:r w:rsidRPr="002E44AE">
        <w:rPr>
          <w:rFonts w:cs="Calibri"/>
          <w:color w:val="auto"/>
          <w:szCs w:val="24"/>
        </w:rPr>
        <w:t>l’évaluation</w:t>
      </w:r>
      <w:proofErr w:type="spellEnd"/>
      <w:r w:rsidRPr="002E44AE">
        <w:rPr>
          <w:rFonts w:cs="Calibri"/>
          <w:color w:val="auto"/>
          <w:szCs w:val="24"/>
        </w:rPr>
        <w:t xml:space="preserve"> du </w:t>
      </w:r>
      <w:proofErr w:type="spellStart"/>
      <w:r w:rsidRPr="002E44AE">
        <w:rPr>
          <w:rFonts w:cs="Calibri"/>
          <w:color w:val="auto"/>
          <w:szCs w:val="24"/>
        </w:rPr>
        <w:t>degré</w:t>
      </w:r>
      <w:proofErr w:type="spellEnd"/>
      <w:r w:rsidRPr="002E44AE">
        <w:rPr>
          <w:rFonts w:cs="Calibri"/>
          <w:color w:val="auto"/>
          <w:szCs w:val="24"/>
        </w:rPr>
        <w:t xml:space="preserve"> de compréhension des messages clés de la campagne de publicité;</w:t>
      </w:r>
    </w:p>
    <w:p w14:paraId="3009F6D2" w14:textId="77777777" w:rsidR="004A1276" w:rsidRPr="002E44AE" w:rsidRDefault="004A1276" w:rsidP="002E44AE">
      <w:pPr>
        <w:pStyle w:val="ListParagraph"/>
        <w:numPr>
          <w:ilvl w:val="0"/>
          <w:numId w:val="30"/>
        </w:numPr>
        <w:ind w:left="360" w:right="-138"/>
        <w:rPr>
          <w:rFonts w:cs="Calibri"/>
          <w:color w:val="auto"/>
          <w:szCs w:val="24"/>
        </w:rPr>
      </w:pPr>
      <w:proofErr w:type="spellStart"/>
      <w:r w:rsidRPr="002E44AE">
        <w:rPr>
          <w:rFonts w:cs="Calibri"/>
          <w:color w:val="auto"/>
          <w:szCs w:val="24"/>
        </w:rPr>
        <w:t>l’évaluation</w:t>
      </w:r>
      <w:proofErr w:type="spellEnd"/>
      <w:r w:rsidRPr="002E44AE">
        <w:rPr>
          <w:rFonts w:cs="Calibri"/>
          <w:color w:val="auto"/>
          <w:szCs w:val="24"/>
        </w:rPr>
        <w:t xml:space="preserve"> du </w:t>
      </w:r>
      <w:proofErr w:type="spellStart"/>
      <w:r w:rsidRPr="002E44AE">
        <w:rPr>
          <w:rFonts w:cs="Calibri"/>
          <w:color w:val="auto"/>
          <w:szCs w:val="24"/>
        </w:rPr>
        <w:t>degré</w:t>
      </w:r>
      <w:proofErr w:type="spellEnd"/>
      <w:r w:rsidRPr="002E44AE">
        <w:rPr>
          <w:rFonts w:cs="Calibri"/>
          <w:color w:val="auto"/>
          <w:szCs w:val="24"/>
        </w:rPr>
        <w:t xml:space="preserve"> de notoriété de l’entité responsable de l’autorisation de la publicité.</w:t>
      </w:r>
    </w:p>
    <w:p w14:paraId="094EA438" w14:textId="77777777" w:rsidR="004A1276" w:rsidRPr="003C06E0" w:rsidRDefault="004A1276" w:rsidP="00F72D53">
      <w:pPr>
        <w:rPr>
          <w:rFonts w:cs="Calibri"/>
          <w:lang w:val="fr-FR"/>
        </w:rPr>
      </w:pPr>
    </w:p>
    <w:p w14:paraId="28FEA83A" w14:textId="77777777" w:rsidR="004A1276" w:rsidRPr="003C06E0" w:rsidRDefault="004A1276" w:rsidP="00113CC2">
      <w:pPr>
        <w:pStyle w:val="Heading3"/>
        <w:rPr>
          <w:rFonts w:ascii="Calibri" w:hAnsi="Calibri" w:cs="Calibri"/>
          <w:color w:val="auto"/>
          <w:lang w:val="fr-CA"/>
        </w:rPr>
      </w:pPr>
      <w:bookmarkStart w:id="35" w:name="_Toc16681179"/>
      <w:bookmarkStart w:id="36" w:name="_Toc77949536"/>
      <w:bookmarkStart w:id="37" w:name="_Toc79062372"/>
      <w:bookmarkStart w:id="38" w:name="_Toc99008839"/>
      <w:r w:rsidRPr="003C06E0">
        <w:rPr>
          <w:rFonts w:ascii="Calibri" w:hAnsi="Calibri" w:cs="Calibri"/>
          <w:color w:val="auto"/>
          <w:lang w:val="fr-CA"/>
        </w:rPr>
        <w:t>Population cible</w:t>
      </w:r>
      <w:bookmarkEnd w:id="35"/>
      <w:bookmarkEnd w:id="36"/>
      <w:bookmarkEnd w:id="37"/>
      <w:bookmarkEnd w:id="38"/>
      <w:r w:rsidRPr="003C06E0">
        <w:rPr>
          <w:rFonts w:ascii="Calibri" w:hAnsi="Calibri" w:cs="Calibri"/>
          <w:color w:val="auto"/>
          <w:lang w:val="fr-CA"/>
        </w:rPr>
        <w:t xml:space="preserve"> </w:t>
      </w:r>
    </w:p>
    <w:p w14:paraId="07672639" w14:textId="59FB54D1" w:rsidR="00F20A53" w:rsidRPr="003C06E0" w:rsidRDefault="00F20A53">
      <w:pPr>
        <w:spacing w:line="240" w:lineRule="auto"/>
        <w:rPr>
          <w:rFonts w:eastAsia="Times New Roman" w:cs="Calibri"/>
          <w:b/>
          <w:bCs/>
          <w:sz w:val="28"/>
          <w:szCs w:val="22"/>
          <w:lang w:val="fr-FR"/>
        </w:rPr>
      </w:pPr>
    </w:p>
    <w:p w14:paraId="640F5FAC" w14:textId="052D09D9" w:rsidR="007E1AE9" w:rsidRDefault="004A1276" w:rsidP="003C06E0">
      <w:pPr>
        <w:rPr>
          <w:rFonts w:cs="Calibri"/>
          <w:lang w:val="fr-FR"/>
        </w:rPr>
      </w:pPr>
      <w:bookmarkStart w:id="39" w:name="_Toc489016720"/>
      <w:bookmarkStart w:id="40" w:name="_Toc490643833"/>
      <w:bookmarkStart w:id="41" w:name="_Toc3971524"/>
      <w:bookmarkEnd w:id="21"/>
      <w:bookmarkEnd w:id="22"/>
      <w:bookmarkEnd w:id="23"/>
      <w:bookmarkEnd w:id="24"/>
      <w:bookmarkEnd w:id="25"/>
      <w:r w:rsidRPr="003C06E0">
        <w:rPr>
          <w:rFonts w:cs="Calibri"/>
          <w:lang w:val="fr-FR"/>
        </w:rPr>
        <w:t>Comme le précise l’énoncé des travaux du projet, le public cible des campagnes de recrutement 202</w:t>
      </w:r>
      <w:r w:rsidR="00572143" w:rsidRPr="003C06E0">
        <w:rPr>
          <w:rFonts w:cs="Calibri"/>
          <w:lang w:val="fr-FR"/>
        </w:rPr>
        <w:t>2</w:t>
      </w:r>
      <w:r w:rsidRPr="003C06E0">
        <w:rPr>
          <w:rFonts w:cs="Calibri"/>
          <w:lang w:val="fr-FR"/>
        </w:rPr>
        <w:t>-202</w:t>
      </w:r>
      <w:r w:rsidR="00572143" w:rsidRPr="003C06E0">
        <w:rPr>
          <w:rFonts w:cs="Calibri"/>
          <w:lang w:val="fr-FR"/>
        </w:rPr>
        <w:t>3</w:t>
      </w:r>
      <w:r w:rsidRPr="003C06E0">
        <w:rPr>
          <w:rFonts w:cs="Calibri"/>
          <w:lang w:val="fr-FR"/>
        </w:rPr>
        <w:t xml:space="preserve"> des Forces armées canadiennes était les Canadiens âgés de 18 à 34 ans. Les données ont été recueillies auprès d’un groupe possédant les principales caractéristiques démographiques des Canadiens dans le groupe d’âge susmentionné. </w:t>
      </w:r>
      <w:r w:rsidR="00A179AA" w:rsidRPr="003C06E0">
        <w:rPr>
          <w:rFonts w:cs="Calibri"/>
          <w:lang w:val="fr-FR"/>
        </w:rPr>
        <w:t xml:space="preserve">Le sondage </w:t>
      </w:r>
      <w:r w:rsidR="00A03C44" w:rsidRPr="003C06E0">
        <w:rPr>
          <w:rFonts w:cs="Calibri"/>
          <w:lang w:val="fr-FR"/>
        </w:rPr>
        <w:t xml:space="preserve">d’août 2022 </w:t>
      </w:r>
      <w:r w:rsidR="00A179AA" w:rsidRPr="003C06E0">
        <w:rPr>
          <w:rFonts w:cs="Calibri"/>
          <w:lang w:val="fr-FR"/>
        </w:rPr>
        <w:t xml:space="preserve">prenait en moyenne </w:t>
      </w:r>
      <w:r w:rsidR="00C15E51" w:rsidRPr="003C06E0">
        <w:rPr>
          <w:rFonts w:cs="Calibri"/>
          <w:lang w:val="fr-FR"/>
        </w:rPr>
        <w:t>cinq</w:t>
      </w:r>
      <w:r w:rsidR="00A179AA" w:rsidRPr="003C06E0">
        <w:rPr>
          <w:rFonts w:cs="Calibri"/>
          <w:lang w:val="fr-FR"/>
        </w:rPr>
        <w:t xml:space="preserve"> minutes à effectuer, tandis que le sondage </w:t>
      </w:r>
      <w:r w:rsidR="00026A16" w:rsidRPr="003C06E0">
        <w:rPr>
          <w:rFonts w:cs="Calibri"/>
          <w:lang w:val="fr-FR"/>
        </w:rPr>
        <w:t xml:space="preserve">de février 2023 </w:t>
      </w:r>
      <w:r w:rsidR="00A179AA" w:rsidRPr="003C06E0">
        <w:rPr>
          <w:rFonts w:cs="Calibri"/>
          <w:lang w:val="fr-FR"/>
        </w:rPr>
        <w:t xml:space="preserve">prenait en moyenne </w:t>
      </w:r>
      <w:r w:rsidR="00026A16" w:rsidRPr="003C06E0">
        <w:rPr>
          <w:rFonts w:cs="Calibri"/>
          <w:lang w:val="fr-FR"/>
        </w:rPr>
        <w:t>quatre</w:t>
      </w:r>
      <w:r w:rsidR="00A179AA" w:rsidRPr="003C06E0">
        <w:rPr>
          <w:rFonts w:cs="Calibri"/>
          <w:lang w:val="fr-FR"/>
        </w:rPr>
        <w:t xml:space="preserve"> minutes.</w:t>
      </w:r>
    </w:p>
    <w:p w14:paraId="2BDF7F55" w14:textId="77777777" w:rsidR="003C06E0" w:rsidRPr="003C06E0" w:rsidRDefault="003C06E0" w:rsidP="003C06E0">
      <w:pPr>
        <w:rPr>
          <w:rFonts w:cs="Calibri"/>
          <w:bCs/>
          <w:lang w:val="fr-FR"/>
        </w:rPr>
      </w:pPr>
    </w:p>
    <w:bookmarkEnd w:id="39"/>
    <w:bookmarkEnd w:id="40"/>
    <w:bookmarkEnd w:id="41"/>
    <w:p w14:paraId="49542186" w14:textId="2347584B" w:rsidR="0050741E" w:rsidRPr="003C06E0" w:rsidRDefault="004A1276" w:rsidP="003C06E0">
      <w:pPr>
        <w:rPr>
          <w:rFonts w:cs="Calibri"/>
          <w:b/>
          <w:sz w:val="28"/>
          <w:lang w:val="fr-FR"/>
        </w:rPr>
      </w:pPr>
      <w:r w:rsidRPr="003C06E0">
        <w:rPr>
          <w:rFonts w:cs="Calibri"/>
          <w:lang w:val="fr-FR"/>
        </w:rPr>
        <w:t xml:space="preserve">Les taux de participation à chaque vague étaient de </w:t>
      </w:r>
      <w:r w:rsidR="00572143" w:rsidRPr="003C06E0">
        <w:rPr>
          <w:rFonts w:cs="Calibri"/>
          <w:lang w:val="fr-FR"/>
        </w:rPr>
        <w:t>86.1</w:t>
      </w:r>
      <w:r w:rsidRPr="003C06E0">
        <w:rPr>
          <w:rFonts w:cs="Calibri"/>
          <w:lang w:val="fr-FR"/>
        </w:rPr>
        <w:t xml:space="preserve"> % et </w:t>
      </w:r>
      <w:r w:rsidR="00572143" w:rsidRPr="003C06E0">
        <w:rPr>
          <w:rFonts w:cs="Calibri"/>
          <w:lang w:val="fr-FR"/>
        </w:rPr>
        <w:t>90.3</w:t>
      </w:r>
      <w:r w:rsidRPr="003C06E0">
        <w:rPr>
          <w:rFonts w:cs="Calibri"/>
          <w:lang w:val="fr-FR"/>
        </w:rPr>
        <w:t> % respectivement.</w:t>
      </w:r>
      <w:r w:rsidR="007E1AE9" w:rsidRPr="003C06E0">
        <w:rPr>
          <w:rFonts w:cs="Calibri"/>
          <w:bCs/>
          <w:lang w:val="fr-FR"/>
        </w:rPr>
        <w:t xml:space="preserve"> </w:t>
      </w:r>
      <w:r w:rsidR="0050741E" w:rsidRPr="003C06E0">
        <w:rPr>
          <w:rFonts w:cs="Calibri"/>
          <w:lang w:val="fr-FR"/>
        </w:rPr>
        <w:t xml:space="preserve">Les listes de coordonnées utilisées pour chaque vague provenaient d’un panel national administré par The </w:t>
      </w:r>
      <w:proofErr w:type="spellStart"/>
      <w:r w:rsidR="0050741E" w:rsidRPr="003C06E0">
        <w:rPr>
          <w:rFonts w:cs="Calibri"/>
          <w:lang w:val="fr-FR"/>
        </w:rPr>
        <w:t>Logit</w:t>
      </w:r>
      <w:proofErr w:type="spellEnd"/>
      <w:r w:rsidR="0050741E" w:rsidRPr="003C06E0">
        <w:rPr>
          <w:rFonts w:cs="Calibri"/>
          <w:lang w:val="fr-FR"/>
        </w:rPr>
        <w:t xml:space="preserve"> Group de Toronto, en Ontario. Au total, pour la vague post-campagne</w:t>
      </w:r>
      <w:r w:rsidR="00864265" w:rsidRPr="003C06E0">
        <w:rPr>
          <w:rFonts w:cs="Calibri"/>
          <w:lang w:val="fr-FR"/>
        </w:rPr>
        <w:t xml:space="preserve"> d’août 2022</w:t>
      </w:r>
      <w:r w:rsidR="0050741E" w:rsidRPr="003C06E0">
        <w:rPr>
          <w:rFonts w:cs="Calibri"/>
          <w:lang w:val="fr-FR"/>
        </w:rPr>
        <w:t>, un total de 1 00</w:t>
      </w:r>
      <w:r w:rsidR="00864265" w:rsidRPr="003C06E0">
        <w:rPr>
          <w:rFonts w:cs="Calibri"/>
          <w:lang w:val="fr-FR"/>
        </w:rPr>
        <w:t>0</w:t>
      </w:r>
      <w:r w:rsidR="0050741E" w:rsidRPr="003C06E0">
        <w:rPr>
          <w:rFonts w:cs="Calibri"/>
          <w:lang w:val="fr-FR"/>
        </w:rPr>
        <w:t> sondages ont été remplis, tandis que 1 00</w:t>
      </w:r>
      <w:r w:rsidR="00560A72" w:rsidRPr="003C06E0">
        <w:rPr>
          <w:rFonts w:cs="Calibri"/>
          <w:lang w:val="fr-FR"/>
        </w:rPr>
        <w:t>8</w:t>
      </w:r>
      <w:r w:rsidR="0050741E" w:rsidRPr="003C06E0">
        <w:rPr>
          <w:rFonts w:cs="Calibri"/>
          <w:lang w:val="fr-FR"/>
        </w:rPr>
        <w:t> sondages ont été remplis pour l</w:t>
      </w:r>
      <w:r w:rsidR="00560A72" w:rsidRPr="003C06E0">
        <w:rPr>
          <w:rFonts w:cs="Calibri"/>
          <w:lang w:val="fr-FR"/>
        </w:rPr>
        <w:t>’</w:t>
      </w:r>
      <w:r w:rsidR="0050741E" w:rsidRPr="003C06E0">
        <w:rPr>
          <w:rFonts w:cs="Calibri"/>
          <w:lang w:val="fr-FR"/>
        </w:rPr>
        <w:t xml:space="preserve">itération </w:t>
      </w:r>
      <w:r w:rsidR="00560A72" w:rsidRPr="003C06E0">
        <w:rPr>
          <w:rFonts w:cs="Calibri"/>
          <w:lang w:val="fr-FR"/>
        </w:rPr>
        <w:t>d</w:t>
      </w:r>
      <w:r w:rsidR="009C60CB" w:rsidRPr="003C06E0">
        <w:rPr>
          <w:rFonts w:cs="Calibri"/>
          <w:lang w:val="fr-FR"/>
        </w:rPr>
        <w:t>e pré</w:t>
      </w:r>
      <w:r w:rsidR="00D07A31" w:rsidRPr="003C06E0">
        <w:rPr>
          <w:rFonts w:cs="Calibri"/>
          <w:lang w:val="fr-FR"/>
        </w:rPr>
        <w:t>-</w:t>
      </w:r>
      <w:r w:rsidR="0050741E" w:rsidRPr="003C06E0">
        <w:rPr>
          <w:rFonts w:cs="Calibri"/>
          <w:lang w:val="fr-FR"/>
        </w:rPr>
        <w:t>campagne</w:t>
      </w:r>
      <w:r w:rsidR="00560A72" w:rsidRPr="003C06E0">
        <w:rPr>
          <w:rFonts w:cs="Calibri"/>
          <w:lang w:val="fr-FR"/>
        </w:rPr>
        <w:t xml:space="preserve"> de février 2023</w:t>
      </w:r>
      <w:r w:rsidR="0050741E" w:rsidRPr="003C06E0">
        <w:rPr>
          <w:rFonts w:cs="Calibri"/>
          <w:lang w:val="fr-FR"/>
        </w:rPr>
        <w:t xml:space="preserve">. Le sondage de la vague post-campagne </w:t>
      </w:r>
      <w:r w:rsidR="00323A96" w:rsidRPr="003C06E0">
        <w:rPr>
          <w:rFonts w:cs="Calibri"/>
          <w:lang w:val="fr-FR"/>
        </w:rPr>
        <w:t xml:space="preserve">d’août 2022 </w:t>
      </w:r>
      <w:r w:rsidR="0050741E" w:rsidRPr="003C06E0">
        <w:rPr>
          <w:rFonts w:cs="Calibri"/>
          <w:lang w:val="fr-FR"/>
        </w:rPr>
        <w:t xml:space="preserve">a été réalisé du </w:t>
      </w:r>
      <w:r w:rsidR="00323A96" w:rsidRPr="003C06E0">
        <w:rPr>
          <w:rFonts w:cs="Calibri"/>
          <w:lang w:val="fr-FR"/>
        </w:rPr>
        <w:t>8</w:t>
      </w:r>
      <w:r w:rsidR="0050741E" w:rsidRPr="003C06E0">
        <w:rPr>
          <w:rFonts w:cs="Calibri"/>
          <w:lang w:val="fr-FR"/>
        </w:rPr>
        <w:t xml:space="preserve"> au </w:t>
      </w:r>
      <w:r w:rsidR="00323A96" w:rsidRPr="003C06E0">
        <w:rPr>
          <w:rFonts w:cs="Calibri"/>
          <w:lang w:val="fr-FR"/>
        </w:rPr>
        <w:t>17</w:t>
      </w:r>
      <w:r w:rsidR="0050741E" w:rsidRPr="003C06E0">
        <w:rPr>
          <w:rFonts w:cs="Calibri"/>
          <w:lang w:val="fr-FR"/>
        </w:rPr>
        <w:t xml:space="preserve"> août </w:t>
      </w:r>
      <w:r w:rsidR="00323A96" w:rsidRPr="003C06E0">
        <w:rPr>
          <w:rFonts w:cs="Calibri"/>
          <w:lang w:val="fr-FR"/>
        </w:rPr>
        <w:t>2022</w:t>
      </w:r>
      <w:r w:rsidR="0050741E" w:rsidRPr="003C06E0">
        <w:rPr>
          <w:rFonts w:cs="Calibri"/>
          <w:lang w:val="fr-FR"/>
        </w:rPr>
        <w:t xml:space="preserve">, tandis que le sondage de la vague </w:t>
      </w:r>
      <w:r w:rsidR="00323A96" w:rsidRPr="003C06E0">
        <w:rPr>
          <w:rFonts w:cs="Calibri"/>
          <w:lang w:val="fr-FR"/>
        </w:rPr>
        <w:t>d</w:t>
      </w:r>
      <w:r w:rsidR="002A2E01" w:rsidRPr="003C06E0">
        <w:rPr>
          <w:rFonts w:cs="Calibri"/>
          <w:lang w:val="fr-FR"/>
        </w:rPr>
        <w:t>e pré</w:t>
      </w:r>
      <w:r w:rsidR="00D07A31" w:rsidRPr="003C06E0">
        <w:rPr>
          <w:rFonts w:cs="Calibri"/>
          <w:lang w:val="fr-FR"/>
        </w:rPr>
        <w:t>-</w:t>
      </w:r>
      <w:r w:rsidR="0050741E" w:rsidRPr="003C06E0">
        <w:rPr>
          <w:rFonts w:cs="Calibri"/>
          <w:lang w:val="fr-FR"/>
        </w:rPr>
        <w:t xml:space="preserve">campagne </w:t>
      </w:r>
      <w:r w:rsidR="00323A96" w:rsidRPr="003C06E0">
        <w:rPr>
          <w:rFonts w:cs="Calibri"/>
          <w:lang w:val="fr-FR"/>
        </w:rPr>
        <w:t xml:space="preserve">de février 2023 </w:t>
      </w:r>
      <w:r w:rsidR="0050741E" w:rsidRPr="003C06E0">
        <w:rPr>
          <w:rFonts w:cs="Calibri"/>
          <w:lang w:val="fr-FR"/>
        </w:rPr>
        <w:t xml:space="preserve">a été réalisé du </w:t>
      </w:r>
      <w:r w:rsidR="00323A96" w:rsidRPr="003C06E0">
        <w:rPr>
          <w:rFonts w:cs="Calibri"/>
          <w:lang w:val="fr-FR"/>
        </w:rPr>
        <w:t xml:space="preserve">6 </w:t>
      </w:r>
      <w:r w:rsidR="0050741E" w:rsidRPr="003C06E0">
        <w:rPr>
          <w:rFonts w:cs="Calibri"/>
          <w:lang w:val="fr-FR"/>
        </w:rPr>
        <w:t>au</w:t>
      </w:r>
      <w:r w:rsidR="00323A96" w:rsidRPr="003C06E0">
        <w:rPr>
          <w:rFonts w:cs="Calibri"/>
          <w:lang w:val="fr-FR"/>
        </w:rPr>
        <w:t xml:space="preserve"> 16 février 2023</w:t>
      </w:r>
      <w:r w:rsidR="0050741E" w:rsidRPr="003C06E0">
        <w:rPr>
          <w:rFonts w:cs="Calibri"/>
          <w:lang w:val="fr-FR"/>
        </w:rPr>
        <w:t>.</w:t>
      </w:r>
    </w:p>
    <w:p w14:paraId="69DF66FB" w14:textId="77777777" w:rsidR="007E1AE9" w:rsidRPr="003C06E0" w:rsidRDefault="007E1AE9" w:rsidP="00F10F0C">
      <w:pPr>
        <w:rPr>
          <w:rFonts w:cs="Calibri"/>
          <w:bCs/>
          <w:lang w:val="fr-FR"/>
        </w:rPr>
      </w:pPr>
    </w:p>
    <w:p w14:paraId="671F840E" w14:textId="77777777" w:rsidR="0050741E" w:rsidRPr="003C06E0" w:rsidRDefault="0050741E" w:rsidP="00113CC2">
      <w:pPr>
        <w:pStyle w:val="Heading3"/>
        <w:rPr>
          <w:rFonts w:ascii="Calibri" w:hAnsi="Calibri" w:cs="Calibri"/>
          <w:color w:val="auto"/>
          <w:lang w:val="fr-CA"/>
        </w:rPr>
      </w:pPr>
      <w:bookmarkStart w:id="42" w:name="_Toc3971525"/>
      <w:bookmarkStart w:id="43" w:name="_Toc77949537"/>
      <w:bookmarkStart w:id="44" w:name="_Toc79062373"/>
      <w:bookmarkStart w:id="45" w:name="_Toc99008840"/>
      <w:r w:rsidRPr="003C06E0">
        <w:rPr>
          <w:rFonts w:ascii="Calibri" w:hAnsi="Calibri" w:cs="Calibri"/>
          <w:color w:val="auto"/>
          <w:lang w:val="fr-CA"/>
        </w:rPr>
        <w:t xml:space="preserve">Méthodologie et </w:t>
      </w:r>
      <w:bookmarkStart w:id="46" w:name="_Toc16681180"/>
      <w:bookmarkEnd w:id="42"/>
      <w:r w:rsidRPr="003C06E0">
        <w:rPr>
          <w:rFonts w:ascii="Calibri" w:hAnsi="Calibri" w:cs="Calibri"/>
          <w:color w:val="auto"/>
          <w:lang w:val="fr-CA"/>
        </w:rPr>
        <w:t>utilisation de la recherche</w:t>
      </w:r>
      <w:bookmarkEnd w:id="43"/>
      <w:bookmarkEnd w:id="44"/>
      <w:bookmarkEnd w:id="45"/>
      <w:bookmarkEnd w:id="46"/>
    </w:p>
    <w:p w14:paraId="65A6F085" w14:textId="77777777" w:rsidR="00F20A53" w:rsidRPr="003C06E0" w:rsidRDefault="00F20A53" w:rsidP="003C06E0">
      <w:pPr>
        <w:rPr>
          <w:rFonts w:cs="Calibri"/>
          <w:lang w:val="fr-FR"/>
        </w:rPr>
      </w:pPr>
    </w:p>
    <w:p w14:paraId="02931BBF" w14:textId="0EF487C9" w:rsidR="00680E1D" w:rsidRPr="003C06E0" w:rsidRDefault="009E7C2A" w:rsidP="00F10F0C">
      <w:pPr>
        <w:autoSpaceDE w:val="0"/>
        <w:autoSpaceDN w:val="0"/>
        <w:adjustRightInd w:val="0"/>
        <w:rPr>
          <w:rFonts w:cs="Calibri"/>
          <w:lang w:val="fr-FR"/>
        </w:rPr>
      </w:pPr>
      <w:r w:rsidRPr="003C06E0">
        <w:rPr>
          <w:rFonts w:cs="Calibri"/>
          <w:lang w:val="fr-FR"/>
        </w:rPr>
        <w:t>Les données de sondages ont été recueillies pour mesurer le rappel de la campagne publicitaire de recrutement 202</w:t>
      </w:r>
      <w:r w:rsidR="00572143" w:rsidRPr="003C06E0">
        <w:rPr>
          <w:rFonts w:cs="Calibri"/>
          <w:lang w:val="fr-FR"/>
        </w:rPr>
        <w:t>2</w:t>
      </w:r>
      <w:r w:rsidRPr="003C06E0">
        <w:rPr>
          <w:rFonts w:cs="Calibri"/>
          <w:lang w:val="fr-FR"/>
        </w:rPr>
        <w:t>-202</w:t>
      </w:r>
      <w:r w:rsidR="00572143" w:rsidRPr="003C06E0">
        <w:rPr>
          <w:rFonts w:cs="Calibri"/>
          <w:lang w:val="fr-FR"/>
        </w:rPr>
        <w:t>3</w:t>
      </w:r>
      <w:r w:rsidRPr="003C06E0">
        <w:rPr>
          <w:rFonts w:cs="Calibri"/>
          <w:lang w:val="fr-FR"/>
        </w:rPr>
        <w:t xml:space="preserve"> et la réaction à celle-ci. Conformément à la méthodologie standard utilisant l’Outil d’évaluation de campagnes publicitaires (OECP) du gouvernement du Canada, </w:t>
      </w:r>
      <w:bookmarkStart w:id="47" w:name="_Toc498602385"/>
      <w:r w:rsidR="00A179AA" w:rsidRPr="003C06E0">
        <w:rPr>
          <w:rFonts w:cs="Calibri"/>
          <w:lang w:val="fr-FR"/>
        </w:rPr>
        <w:t xml:space="preserve">les données utilisées proviennent du sondage </w:t>
      </w:r>
      <w:r w:rsidR="000F578D" w:rsidRPr="003C06E0">
        <w:rPr>
          <w:rFonts w:cs="Calibri"/>
          <w:lang w:val="fr-FR"/>
        </w:rPr>
        <w:t>d</w:t>
      </w:r>
      <w:r w:rsidR="00530F8F" w:rsidRPr="003C06E0">
        <w:rPr>
          <w:rFonts w:cs="Calibri"/>
          <w:lang w:val="fr-FR"/>
        </w:rPr>
        <w:t>e pré</w:t>
      </w:r>
      <w:r w:rsidR="00D07A31" w:rsidRPr="003C06E0">
        <w:rPr>
          <w:rFonts w:cs="Calibri"/>
          <w:lang w:val="fr-FR"/>
        </w:rPr>
        <w:t>-</w:t>
      </w:r>
      <w:r w:rsidR="000F578D" w:rsidRPr="003C06E0">
        <w:rPr>
          <w:rFonts w:cs="Calibri"/>
          <w:lang w:val="fr-FR"/>
        </w:rPr>
        <w:t xml:space="preserve">campagne </w:t>
      </w:r>
      <w:r w:rsidR="00A179AA" w:rsidRPr="003C06E0">
        <w:rPr>
          <w:rFonts w:cs="Calibri"/>
          <w:lang w:val="fr-FR"/>
        </w:rPr>
        <w:t xml:space="preserve">réalisé en </w:t>
      </w:r>
      <w:r w:rsidR="000F578D" w:rsidRPr="003C06E0">
        <w:rPr>
          <w:rFonts w:cs="Calibri"/>
          <w:lang w:val="fr-FR"/>
        </w:rPr>
        <w:t>février 2023</w:t>
      </w:r>
      <w:r w:rsidR="00A179AA" w:rsidRPr="003C06E0">
        <w:rPr>
          <w:rFonts w:cs="Calibri"/>
          <w:lang w:val="fr-FR"/>
        </w:rPr>
        <w:t>, avant la diffusion des publicités de la campagne dans les médias</w:t>
      </w:r>
      <w:r w:rsidR="000F578D" w:rsidRPr="003C06E0">
        <w:rPr>
          <w:rFonts w:cs="Calibri"/>
          <w:lang w:val="fr-FR"/>
        </w:rPr>
        <w:t>, et serviront de référence pour le sondage post-campagne de 2023.</w:t>
      </w:r>
    </w:p>
    <w:p w14:paraId="609C10ED" w14:textId="77777777" w:rsidR="00680E1D" w:rsidRPr="003C06E0" w:rsidRDefault="00680E1D" w:rsidP="00F10F0C">
      <w:pPr>
        <w:autoSpaceDE w:val="0"/>
        <w:autoSpaceDN w:val="0"/>
        <w:adjustRightInd w:val="0"/>
        <w:rPr>
          <w:rFonts w:cs="Calibri"/>
          <w:lang w:val="fr-FR"/>
        </w:rPr>
      </w:pPr>
    </w:p>
    <w:bookmarkEnd w:id="47"/>
    <w:p w14:paraId="48A482CB" w14:textId="2EA2EC8F" w:rsidR="009E7C2A" w:rsidRDefault="009E7C2A" w:rsidP="009E7C2A">
      <w:pPr>
        <w:autoSpaceDE w:val="0"/>
        <w:autoSpaceDN w:val="0"/>
        <w:adjustRightInd w:val="0"/>
        <w:rPr>
          <w:rFonts w:cs="Calibri"/>
          <w:lang w:val="fr-FR"/>
        </w:rPr>
      </w:pPr>
      <w:r w:rsidRPr="003C06E0">
        <w:rPr>
          <w:rFonts w:cs="Calibri"/>
          <w:lang w:val="fr-FR"/>
        </w:rPr>
        <w:t xml:space="preserve">Encore une fois, conformément à la méthodologie standard de l’OECP, les sondages  ont permis de recueillir des informations relatives au rappel de la publicité et de ses </w:t>
      </w:r>
      <w:bookmarkStart w:id="48" w:name="_Toc498602386"/>
      <w:r w:rsidRPr="003C06E0">
        <w:rPr>
          <w:rFonts w:cs="Calibri"/>
          <w:lang w:val="fr-FR"/>
        </w:rPr>
        <w:t xml:space="preserve">principaux messages, à la provenance de la publicité et aux actions éventuelles qui ont été prises à la suite de la publicité. Les représentants du gouvernement du Canada compareront par la suite les données </w:t>
      </w:r>
      <w:r w:rsidR="007F3F3D" w:rsidRPr="003C06E0">
        <w:rPr>
          <w:rFonts w:cs="Calibri"/>
          <w:lang w:val="fr-FR"/>
        </w:rPr>
        <w:t xml:space="preserve">de 2023 </w:t>
      </w:r>
      <w:r w:rsidRPr="003C06E0">
        <w:rPr>
          <w:rFonts w:cs="Calibri"/>
          <w:lang w:val="fr-FR"/>
        </w:rPr>
        <w:t>recueillies après la campagne aux résultats de référence</w:t>
      </w:r>
      <w:r w:rsidR="007F3F3D" w:rsidRPr="003C06E0">
        <w:rPr>
          <w:rFonts w:cs="Calibri"/>
          <w:lang w:val="fr-FR"/>
        </w:rPr>
        <w:t xml:space="preserve"> de février 2023</w:t>
      </w:r>
      <w:r w:rsidRPr="003C06E0">
        <w:rPr>
          <w:rFonts w:cs="Calibri"/>
          <w:lang w:val="fr-FR"/>
        </w:rPr>
        <w:t>.</w:t>
      </w:r>
      <w:bookmarkEnd w:id="48"/>
    </w:p>
    <w:p w14:paraId="3B5A0271" w14:textId="77777777" w:rsidR="002E44AE" w:rsidRPr="003C06E0" w:rsidRDefault="002E44AE" w:rsidP="009E7C2A">
      <w:pPr>
        <w:autoSpaceDE w:val="0"/>
        <w:autoSpaceDN w:val="0"/>
        <w:adjustRightInd w:val="0"/>
        <w:rPr>
          <w:rFonts w:cs="Calibri"/>
          <w:szCs w:val="22"/>
          <w:lang w:val="fr-FR"/>
        </w:rPr>
      </w:pPr>
    </w:p>
    <w:p w14:paraId="53EA2272" w14:textId="5ABED03F" w:rsidR="009E7C2A" w:rsidRPr="003C06E0" w:rsidRDefault="009E7C2A" w:rsidP="009E7C2A">
      <w:pPr>
        <w:pStyle w:val="BodyText"/>
        <w:spacing w:after="0"/>
        <w:rPr>
          <w:rFonts w:cs="Calibri"/>
          <w:bCs/>
          <w:lang w:val="fr-FR"/>
        </w:rPr>
      </w:pPr>
      <w:r w:rsidRPr="003C06E0">
        <w:rPr>
          <w:rFonts w:cs="Calibri"/>
          <w:lang w:val="fr-FR"/>
        </w:rPr>
        <w:t>Les résultats de cette étude sont destinés à être utilisés par le ministère de la Défense nationale pour surveiller le rappel de la campagne médiatique ainsi que le rendement du placement dans les médias et fournir de l’information pour améliorer l’efficacité de la campagne de recrutement. Puisque cette méthodologie en ligne a reposé sur un échantillonnage non probabiliste, les données amassées par les sondages ne peuvent être extrapolées à la population générale du Canada de 18 à 34 ans.</w:t>
      </w:r>
    </w:p>
    <w:p w14:paraId="393D5FDB" w14:textId="77777777" w:rsidR="00680E1D" w:rsidRPr="003C06E0" w:rsidRDefault="00680E1D" w:rsidP="00F10F0C">
      <w:pPr>
        <w:pStyle w:val="BodyText"/>
        <w:spacing w:after="0"/>
        <w:rPr>
          <w:rFonts w:cs="Calibri"/>
          <w:bCs/>
          <w:lang w:val="fr-FR"/>
        </w:rPr>
      </w:pPr>
    </w:p>
    <w:p w14:paraId="2627F7AF" w14:textId="77777777" w:rsidR="009E7C2A" w:rsidRPr="003C06E0" w:rsidRDefault="009E7C2A" w:rsidP="009E7C2A">
      <w:pPr>
        <w:pStyle w:val="Heading3"/>
        <w:rPr>
          <w:rFonts w:ascii="Calibri" w:hAnsi="Calibri" w:cs="Calibri"/>
          <w:color w:val="auto"/>
          <w:lang w:val="fr-FR"/>
        </w:rPr>
      </w:pPr>
      <w:bookmarkStart w:id="49" w:name="_Toc16681181"/>
      <w:bookmarkStart w:id="50" w:name="_Toc3971526"/>
      <w:bookmarkStart w:id="51" w:name="_Toc79062374"/>
      <w:bookmarkStart w:id="52" w:name="_Toc99008841"/>
      <w:r w:rsidRPr="003C06E0">
        <w:rPr>
          <w:rFonts w:ascii="Calibri" w:hAnsi="Calibri" w:cs="Calibri"/>
          <w:color w:val="auto"/>
          <w:lang w:val="fr-FR"/>
        </w:rPr>
        <w:t>Dépenses</w:t>
      </w:r>
      <w:bookmarkEnd w:id="49"/>
      <w:bookmarkEnd w:id="50"/>
      <w:bookmarkEnd w:id="51"/>
      <w:bookmarkEnd w:id="52"/>
    </w:p>
    <w:p w14:paraId="6655CB0A" w14:textId="77777777" w:rsidR="009E7C2A" w:rsidRPr="003C06E0" w:rsidRDefault="009E7C2A" w:rsidP="009E7C2A">
      <w:pPr>
        <w:rPr>
          <w:rFonts w:cs="Calibri"/>
          <w:lang w:val="fr-FR"/>
        </w:rPr>
      </w:pPr>
    </w:p>
    <w:p w14:paraId="57A7E4A3" w14:textId="2744A634" w:rsidR="00622136" w:rsidRPr="003C06E0" w:rsidRDefault="009E7C2A" w:rsidP="009E7C2A">
      <w:pPr>
        <w:rPr>
          <w:rFonts w:cs="Calibri"/>
          <w:lang w:val="fr-FR"/>
        </w:rPr>
      </w:pPr>
      <w:r w:rsidRPr="003C06E0">
        <w:rPr>
          <w:rFonts w:cs="Calibri"/>
          <w:lang w:val="fr-FR"/>
        </w:rPr>
        <w:t xml:space="preserve">Le sondage a entraîné des dépenses de </w:t>
      </w:r>
      <w:r w:rsidR="00572143" w:rsidRPr="003C06E0">
        <w:rPr>
          <w:rFonts w:cs="Calibri"/>
          <w:bCs/>
          <w:spacing w:val="14"/>
          <w:lang w:val="fr-FR"/>
        </w:rPr>
        <w:t>35,679.75</w:t>
      </w:r>
      <w:r w:rsidRPr="003C06E0">
        <w:rPr>
          <w:rFonts w:cs="Calibri"/>
          <w:bCs/>
          <w:lang w:val="fr-FR"/>
        </w:rPr>
        <w:t xml:space="preserve"> </w:t>
      </w:r>
      <w:r w:rsidRPr="003C06E0">
        <w:rPr>
          <w:rFonts w:cs="Calibri"/>
          <w:lang w:val="fr-FR"/>
        </w:rPr>
        <w:t>$ (TVH incluse).</w:t>
      </w:r>
    </w:p>
    <w:p w14:paraId="5EFB1B5A" w14:textId="77777777" w:rsidR="00622136" w:rsidRPr="003C06E0" w:rsidRDefault="00622136" w:rsidP="00F10F0C">
      <w:pPr>
        <w:rPr>
          <w:rFonts w:cs="Calibri"/>
          <w:lang w:val="fr-FR"/>
        </w:rPr>
      </w:pPr>
    </w:p>
    <w:p w14:paraId="0C052DC5" w14:textId="77777777" w:rsidR="009E7C2A" w:rsidRPr="003C06E0" w:rsidRDefault="009E7C2A" w:rsidP="009E7C2A">
      <w:pPr>
        <w:pStyle w:val="Heading3"/>
        <w:rPr>
          <w:rFonts w:ascii="Calibri" w:hAnsi="Calibri" w:cs="Calibri"/>
          <w:color w:val="auto"/>
          <w:lang w:val="fr-FR"/>
        </w:rPr>
      </w:pPr>
      <w:bookmarkStart w:id="53" w:name="_Toc3971527"/>
      <w:bookmarkStart w:id="54" w:name="_Toc77949539"/>
      <w:bookmarkStart w:id="55" w:name="_Toc79062375"/>
      <w:bookmarkStart w:id="56" w:name="_Toc99008842"/>
      <w:r w:rsidRPr="003C06E0">
        <w:rPr>
          <w:rFonts w:ascii="Calibri" w:hAnsi="Calibri" w:cs="Calibri"/>
          <w:color w:val="auto"/>
          <w:lang w:val="fr-FR"/>
        </w:rPr>
        <w:t>Consent</w:t>
      </w:r>
      <w:bookmarkEnd w:id="53"/>
      <w:bookmarkEnd w:id="54"/>
      <w:r w:rsidRPr="003C06E0">
        <w:rPr>
          <w:rFonts w:ascii="Calibri" w:hAnsi="Calibri" w:cs="Calibri"/>
          <w:color w:val="auto"/>
          <w:lang w:val="fr-FR"/>
        </w:rPr>
        <w:t>ement</w:t>
      </w:r>
      <w:bookmarkEnd w:id="55"/>
      <w:bookmarkEnd w:id="56"/>
    </w:p>
    <w:p w14:paraId="3DB98C33" w14:textId="77777777" w:rsidR="009E7C2A" w:rsidRPr="003C06E0" w:rsidRDefault="009E7C2A" w:rsidP="009E7C2A">
      <w:pPr>
        <w:rPr>
          <w:rFonts w:cs="Calibri"/>
          <w:lang w:val="fr-FR"/>
        </w:rPr>
      </w:pPr>
    </w:p>
    <w:p w14:paraId="12444BC2" w14:textId="77777777" w:rsidR="009E7C2A" w:rsidRPr="003C06E0" w:rsidRDefault="009E7C2A" w:rsidP="009E7C2A">
      <w:pPr>
        <w:rPr>
          <w:rFonts w:cs="Calibri"/>
          <w:sz w:val="28"/>
          <w:szCs w:val="28"/>
          <w:lang w:val="fr-FR"/>
        </w:rPr>
      </w:pPr>
      <w:r w:rsidRPr="003C06E0">
        <w:rPr>
          <w:rFonts w:cs="Calibri"/>
          <w:lang w:val="fr-FR"/>
        </w:rPr>
        <w:t>Narrative Research accorde son consentement écrit permettant à Bibliothèque et Archives Canada d’afficher dans les deux langues officielles le présent rapport de méthodologie.</w:t>
      </w:r>
    </w:p>
    <w:p w14:paraId="067B649B" w14:textId="77777777" w:rsidR="00622136" w:rsidRPr="003C06E0" w:rsidRDefault="00622136" w:rsidP="00F10F0C">
      <w:pPr>
        <w:rPr>
          <w:rFonts w:cs="Calibri"/>
          <w:bCs/>
          <w:lang w:val="fr-FR"/>
        </w:rPr>
      </w:pPr>
    </w:p>
    <w:p w14:paraId="290FF596" w14:textId="71E47194" w:rsidR="009E7C2A" w:rsidRDefault="009E7C2A" w:rsidP="002E44AE">
      <w:pPr>
        <w:pStyle w:val="Heading3"/>
        <w:rPr>
          <w:rFonts w:ascii="Calibri" w:hAnsi="Calibri" w:cs="Calibri"/>
          <w:color w:val="auto"/>
          <w:lang w:val="fr-FR"/>
        </w:rPr>
      </w:pPr>
      <w:r w:rsidRPr="002E44AE">
        <w:rPr>
          <w:rFonts w:ascii="Calibri" w:hAnsi="Calibri" w:cs="Calibri"/>
          <w:color w:val="auto"/>
          <w:lang w:val="fr-FR"/>
        </w:rPr>
        <w:t>Déclaration de neutralité politique et coordonnées</w:t>
      </w:r>
    </w:p>
    <w:p w14:paraId="63E63CC4" w14:textId="77777777" w:rsidR="002E44AE" w:rsidRPr="002E44AE" w:rsidRDefault="002E44AE" w:rsidP="002E44AE">
      <w:pPr>
        <w:rPr>
          <w:lang w:val="fr-FR"/>
        </w:rPr>
      </w:pPr>
    </w:p>
    <w:p w14:paraId="03F804C4" w14:textId="77777777" w:rsidR="009E7C2A" w:rsidRPr="003C06E0" w:rsidRDefault="009E7C2A" w:rsidP="009E7C2A">
      <w:pPr>
        <w:rPr>
          <w:rFonts w:cs="Calibri"/>
          <w:lang w:val="fr-FR"/>
        </w:rPr>
      </w:pPr>
      <w:r w:rsidRPr="003C06E0">
        <w:rPr>
          <w:rFonts w:cs="Calibri"/>
          <w:lang w:val="fr-FR"/>
        </w:rPr>
        <w:t>À titre de cadre supérieur de Narrative Research Inc., j’atteste par la présente que les résultats de l’étude sont entièrement conformes aux exigences en matière de neutralité décrites dans la Politique sur les communications et l’image de marque du gouvernement du Canada et la Directive sur la gestion des communications. Plus précisément, les résultats attendus n’incluent pas de référence ou de renseignements sur les intentions de vote électoral, les préférences quant aux partis politiques, les positions des partis ou les cotes de performance d’un parti politique ou de ses dirigeants.</w:t>
      </w:r>
    </w:p>
    <w:p w14:paraId="0FA8D42A" w14:textId="77777777" w:rsidR="00572143" w:rsidRPr="003C06E0" w:rsidRDefault="00572143" w:rsidP="009E7C2A">
      <w:pPr>
        <w:rPr>
          <w:rFonts w:cs="Calibri"/>
          <w:bCs/>
          <w:lang w:val="fr-FR"/>
        </w:rPr>
      </w:pPr>
    </w:p>
    <w:p w14:paraId="6A85ED01" w14:textId="77777777" w:rsidR="009E7C2A" w:rsidRPr="003C06E0" w:rsidRDefault="009E7C2A" w:rsidP="009E7C2A">
      <w:pPr>
        <w:rPr>
          <w:rFonts w:cs="Calibri"/>
          <w:bCs/>
          <w:szCs w:val="22"/>
        </w:rPr>
      </w:pPr>
      <w:r w:rsidRPr="003C06E0">
        <w:rPr>
          <w:rFonts w:cs="Calibri"/>
          <w:noProof/>
          <w:lang w:val="en-CA" w:eastAsia="en-CA"/>
        </w:rPr>
        <w:drawing>
          <wp:inline distT="0" distB="0" distL="0" distR="0" wp14:anchorId="1BD10F9B" wp14:editId="1216DFA1">
            <wp:extent cx="1628775" cy="428625"/>
            <wp:effectExtent l="0" t="0" r="9525" b="9525"/>
            <wp:docPr id="3" name="Picture 3" descr="Signature Peter MacInt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Peter MacInto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2EE23394" w14:textId="77777777" w:rsidR="009E7C2A" w:rsidRPr="003C06E0" w:rsidRDefault="009E7C2A" w:rsidP="009E7C2A">
      <w:pPr>
        <w:rPr>
          <w:rFonts w:cs="Calibri"/>
          <w:bCs/>
          <w:szCs w:val="22"/>
        </w:rPr>
      </w:pPr>
    </w:p>
    <w:p w14:paraId="36E1840A" w14:textId="77777777" w:rsidR="009E7C2A" w:rsidRPr="003C06E0" w:rsidRDefault="009E7C2A" w:rsidP="009E7C2A">
      <w:pPr>
        <w:rPr>
          <w:rFonts w:cs="Calibri"/>
          <w:bCs/>
          <w:szCs w:val="22"/>
          <w:lang w:val="fr-FR"/>
        </w:rPr>
      </w:pPr>
      <w:r w:rsidRPr="003C06E0">
        <w:rPr>
          <w:rFonts w:cs="Calibri"/>
          <w:lang w:val="fr-FR"/>
        </w:rPr>
        <w:t xml:space="preserve">Peter MacIntosh </w:t>
      </w:r>
    </w:p>
    <w:p w14:paraId="04935438" w14:textId="77777777" w:rsidR="009E7C2A" w:rsidRPr="003C06E0" w:rsidRDefault="009E7C2A" w:rsidP="009E7C2A">
      <w:pPr>
        <w:rPr>
          <w:rFonts w:cs="Calibri"/>
          <w:bCs/>
          <w:szCs w:val="22"/>
          <w:lang w:val="fr-FR"/>
        </w:rPr>
      </w:pPr>
      <w:r w:rsidRPr="003C06E0">
        <w:rPr>
          <w:rFonts w:cs="Calibri"/>
          <w:lang w:val="fr-FR"/>
        </w:rPr>
        <w:t>Directeur de recherche et associé</w:t>
      </w:r>
    </w:p>
    <w:p w14:paraId="2312A0FE" w14:textId="77777777" w:rsidR="009E7C2A" w:rsidRPr="003C06E0" w:rsidRDefault="009E7C2A" w:rsidP="009E7C2A">
      <w:pPr>
        <w:rPr>
          <w:rFonts w:cs="Calibri"/>
          <w:bCs/>
          <w:szCs w:val="22"/>
          <w:lang w:val="fr-FR"/>
        </w:rPr>
      </w:pPr>
      <w:r w:rsidRPr="003C06E0">
        <w:rPr>
          <w:rFonts w:cs="Calibri"/>
          <w:lang w:val="fr-FR"/>
        </w:rPr>
        <w:t>Narrative Research</w:t>
      </w:r>
    </w:p>
    <w:p w14:paraId="1CB6F00A" w14:textId="6A5CD292" w:rsidR="009E7C2A" w:rsidRDefault="008923EF" w:rsidP="009E7C2A">
      <w:pPr>
        <w:rPr>
          <w:rStyle w:val="Hyperlink"/>
          <w:rFonts w:cs="Calibri"/>
          <w:color w:val="auto"/>
          <w:lang w:val="fr-FR"/>
        </w:rPr>
      </w:pPr>
      <w:hyperlink r:id="rId13" w:history="1">
        <w:r w:rsidR="00F72D53" w:rsidRPr="009A3832">
          <w:rPr>
            <w:rStyle w:val="Hyperlink"/>
            <w:rFonts w:cs="Calibri"/>
            <w:lang w:val="fr-FR"/>
          </w:rPr>
          <w:t>pmacintosh@narrativeresearch.ca</w:t>
        </w:r>
      </w:hyperlink>
    </w:p>
    <w:p w14:paraId="6D668C05" w14:textId="128DD71E" w:rsidR="00D1134B" w:rsidRPr="003C06E0" w:rsidRDefault="009E7C2A" w:rsidP="00614160">
      <w:pPr>
        <w:rPr>
          <w:rFonts w:cs="Calibri"/>
          <w:lang w:val="fr-FR"/>
        </w:rPr>
      </w:pPr>
      <w:r w:rsidRPr="003C06E0">
        <w:rPr>
          <w:rFonts w:cs="Calibri"/>
          <w:lang w:val="fr-FR"/>
        </w:rPr>
        <w:t>902-493-3832</w:t>
      </w:r>
      <w:bookmarkEnd w:id="26"/>
      <w:bookmarkEnd w:id="27"/>
      <w:bookmarkEnd w:id="28"/>
      <w:bookmarkEnd w:id="29"/>
    </w:p>
    <w:sectPr w:rsidR="00D1134B" w:rsidRPr="003C06E0" w:rsidSect="002C716D">
      <w:pgSz w:w="12240" w:h="15840"/>
      <w:pgMar w:top="1440" w:right="1440" w:bottom="85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5670" w14:textId="77777777" w:rsidR="005A0016" w:rsidRDefault="005A0016" w:rsidP="009F69E5">
      <w:r>
        <w:separator/>
      </w:r>
    </w:p>
  </w:endnote>
  <w:endnote w:type="continuationSeparator" w:id="0">
    <w:p w14:paraId="2D7C0736" w14:textId="77777777" w:rsidR="005A0016" w:rsidRDefault="005A0016"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DC01" w14:textId="77777777" w:rsidR="005A0016" w:rsidRDefault="005A0016" w:rsidP="009F69E5">
      <w:r>
        <w:separator/>
      </w:r>
    </w:p>
  </w:footnote>
  <w:footnote w:type="continuationSeparator" w:id="0">
    <w:p w14:paraId="1137EB98" w14:textId="77777777" w:rsidR="005A0016" w:rsidRDefault="005A0016" w:rsidP="009F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6FC"/>
    <w:multiLevelType w:val="hybridMultilevel"/>
    <w:tmpl w:val="4F4EBBEA"/>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8E3881"/>
    <w:multiLevelType w:val="hybridMultilevel"/>
    <w:tmpl w:val="E5BACA42"/>
    <w:lvl w:ilvl="0" w:tplc="66BC939A">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B2EE2"/>
    <w:multiLevelType w:val="hybridMultilevel"/>
    <w:tmpl w:val="F16C743A"/>
    <w:lvl w:ilvl="0" w:tplc="B0F66F12">
      <w:start w:val="1"/>
      <w:numFmt w:val="bullet"/>
      <w:lvlText w:val="o"/>
      <w:lvlJc w:val="left"/>
      <w:pPr>
        <w:ind w:left="720" w:hanging="360"/>
      </w:pPr>
      <w:rPr>
        <w:rFonts w:ascii="Courier New" w:hAnsi="Courier New" w:hint="default"/>
        <w:sz w:val="24"/>
      </w:rPr>
    </w:lvl>
    <w:lvl w:ilvl="1" w:tplc="2F0AE80A">
      <w:start w:val="1"/>
      <w:numFmt w:val="bullet"/>
      <w:lvlText w:val="o"/>
      <w:lvlJc w:val="left"/>
      <w:pPr>
        <w:ind w:left="1440" w:hanging="360"/>
      </w:pPr>
      <w:rPr>
        <w:rFonts w:ascii="Courier New" w:hAnsi="Courier New" w:hint="default"/>
        <w:sz w:val="24"/>
        <w:lang w:val="en-US"/>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AE000A"/>
    <w:multiLevelType w:val="hybridMultilevel"/>
    <w:tmpl w:val="55344250"/>
    <w:lvl w:ilvl="0" w:tplc="CBCE13E2">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E4344C"/>
    <w:multiLevelType w:val="hybridMultilevel"/>
    <w:tmpl w:val="C3843948"/>
    <w:lvl w:ilvl="0" w:tplc="488461D8">
      <w:start w:val="1"/>
      <w:numFmt w:val="lowerLetter"/>
      <w:lvlText w:val="%1  "/>
      <w:lvlJc w:val="left"/>
      <w:pPr>
        <w:tabs>
          <w:tab w:val="num" w:pos="720"/>
        </w:tabs>
        <w:ind w:left="720" w:hanging="360"/>
      </w:pPr>
      <w:rPr>
        <w:rFont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8093B"/>
    <w:multiLevelType w:val="hybridMultilevel"/>
    <w:tmpl w:val="9BEACCC8"/>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4351AC"/>
    <w:multiLevelType w:val="hybridMultilevel"/>
    <w:tmpl w:val="EE165492"/>
    <w:lvl w:ilvl="0" w:tplc="94F86DBC">
      <w:start w:val="1"/>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4B87F20"/>
    <w:multiLevelType w:val="hybridMultilevel"/>
    <w:tmpl w:val="EEA61352"/>
    <w:lvl w:ilvl="0" w:tplc="7628806E">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7CB00E2"/>
    <w:multiLevelType w:val="hybridMultilevel"/>
    <w:tmpl w:val="33CEF596"/>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8F509B5"/>
    <w:multiLevelType w:val="hybridMultilevel"/>
    <w:tmpl w:val="78F821A2"/>
    <w:lvl w:ilvl="0" w:tplc="A1803B48">
      <w:start w:val="1"/>
      <w:numFmt w:val="bullet"/>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3" w15:restartNumberingAfterBreak="0">
    <w:nsid w:val="29387C22"/>
    <w:multiLevelType w:val="hybridMultilevel"/>
    <w:tmpl w:val="F9420A90"/>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3B89264A"/>
    <w:multiLevelType w:val="hybridMultilevel"/>
    <w:tmpl w:val="D19E34F4"/>
    <w:lvl w:ilvl="0" w:tplc="BF56CD0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EAE533F"/>
    <w:multiLevelType w:val="hybridMultilevel"/>
    <w:tmpl w:val="85F68F70"/>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8" w15:restartNumberingAfterBreak="0">
    <w:nsid w:val="56541D78"/>
    <w:multiLevelType w:val="hybridMultilevel"/>
    <w:tmpl w:val="B80C2D12"/>
    <w:lvl w:ilvl="0" w:tplc="60202D72">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97E0B91"/>
    <w:multiLevelType w:val="hybridMultilevel"/>
    <w:tmpl w:val="D00282A8"/>
    <w:lvl w:ilvl="0" w:tplc="488461D8">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761F75"/>
    <w:multiLevelType w:val="hybridMultilevel"/>
    <w:tmpl w:val="FE20DACE"/>
    <w:lvl w:ilvl="0" w:tplc="A8F2D536">
      <w:start w:val="2"/>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47938C5"/>
    <w:multiLevelType w:val="hybridMultilevel"/>
    <w:tmpl w:val="3476EB0A"/>
    <w:lvl w:ilvl="0" w:tplc="488461D8">
      <w:start w:val="1"/>
      <w:numFmt w:val="lowerLetter"/>
      <w:lvlText w:val="%1  "/>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7C2B34"/>
    <w:multiLevelType w:val="hybridMultilevel"/>
    <w:tmpl w:val="3B2A131C"/>
    <w:lvl w:ilvl="0" w:tplc="B0F66F12">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A097411"/>
    <w:multiLevelType w:val="hybridMultilevel"/>
    <w:tmpl w:val="03981AB0"/>
    <w:lvl w:ilvl="0" w:tplc="10090017">
      <w:start w:val="1"/>
      <w:numFmt w:val="lowerLetter"/>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834879194">
    <w:abstractNumId w:val="12"/>
  </w:num>
  <w:num w:numId="2" w16cid:durableId="7606549">
    <w:abstractNumId w:val="14"/>
  </w:num>
  <w:num w:numId="3" w16cid:durableId="817840951">
    <w:abstractNumId w:val="3"/>
  </w:num>
  <w:num w:numId="4" w16cid:durableId="68888243">
    <w:abstractNumId w:val="22"/>
  </w:num>
  <w:num w:numId="5" w16cid:durableId="23675029">
    <w:abstractNumId w:val="9"/>
  </w:num>
  <w:num w:numId="6" w16cid:durableId="964970687">
    <w:abstractNumId w:val="1"/>
  </w:num>
  <w:num w:numId="7" w16cid:durableId="1302035674">
    <w:abstractNumId w:val="19"/>
  </w:num>
  <w:num w:numId="8" w16cid:durableId="2044018288">
    <w:abstractNumId w:val="11"/>
  </w:num>
  <w:num w:numId="9" w16cid:durableId="2054116569">
    <w:abstractNumId w:val="15"/>
  </w:num>
  <w:num w:numId="10" w16cid:durableId="437218317">
    <w:abstractNumId w:val="17"/>
  </w:num>
  <w:num w:numId="11" w16cid:durableId="56563168">
    <w:abstractNumId w:val="28"/>
  </w:num>
  <w:num w:numId="12" w16cid:durableId="1836072415">
    <w:abstractNumId w:val="24"/>
  </w:num>
  <w:num w:numId="13" w16cid:durableId="1352418366">
    <w:abstractNumId w:val="27"/>
  </w:num>
  <w:num w:numId="14" w16cid:durableId="146359631">
    <w:abstractNumId w:val="26"/>
  </w:num>
  <w:num w:numId="15" w16cid:durableId="432095569">
    <w:abstractNumId w:val="6"/>
  </w:num>
  <w:num w:numId="16" w16cid:durableId="1107776910">
    <w:abstractNumId w:val="7"/>
  </w:num>
  <w:num w:numId="17" w16cid:durableId="1581597670">
    <w:abstractNumId w:val="21"/>
  </w:num>
  <w:num w:numId="18" w16cid:durableId="987706055">
    <w:abstractNumId w:val="16"/>
  </w:num>
  <w:num w:numId="19" w16cid:durableId="590894876">
    <w:abstractNumId w:val="0"/>
  </w:num>
  <w:num w:numId="20" w16cid:durableId="271521250">
    <w:abstractNumId w:val="10"/>
  </w:num>
  <w:num w:numId="21" w16cid:durableId="90711460">
    <w:abstractNumId w:val="13"/>
  </w:num>
  <w:num w:numId="22" w16cid:durableId="1582568945">
    <w:abstractNumId w:val="8"/>
  </w:num>
  <w:num w:numId="23" w16cid:durableId="467016027">
    <w:abstractNumId w:val="8"/>
    <w:lvlOverride w:ilvl="0">
      <w:startOverride w:val="1"/>
    </w:lvlOverride>
  </w:num>
  <w:num w:numId="24" w16cid:durableId="209346695">
    <w:abstractNumId w:val="25"/>
  </w:num>
  <w:num w:numId="25" w16cid:durableId="1257056635">
    <w:abstractNumId w:val="18"/>
  </w:num>
  <w:num w:numId="26" w16cid:durableId="1751003578">
    <w:abstractNumId w:val="4"/>
  </w:num>
  <w:num w:numId="27" w16cid:durableId="1621953673">
    <w:abstractNumId w:val="2"/>
  </w:num>
  <w:num w:numId="28" w16cid:durableId="1987511404">
    <w:abstractNumId w:val="5"/>
  </w:num>
  <w:num w:numId="29" w16cid:durableId="782193638">
    <w:abstractNumId w:val="23"/>
  </w:num>
  <w:num w:numId="30" w16cid:durableId="153662521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21CD"/>
    <w:rsid w:val="000063AC"/>
    <w:rsid w:val="000137EC"/>
    <w:rsid w:val="00014AC4"/>
    <w:rsid w:val="00015110"/>
    <w:rsid w:val="00015926"/>
    <w:rsid w:val="0001655D"/>
    <w:rsid w:val="00021655"/>
    <w:rsid w:val="00021E05"/>
    <w:rsid w:val="00023C7F"/>
    <w:rsid w:val="00026A16"/>
    <w:rsid w:val="00027E1D"/>
    <w:rsid w:val="00031058"/>
    <w:rsid w:val="000349AE"/>
    <w:rsid w:val="0003596B"/>
    <w:rsid w:val="00035A60"/>
    <w:rsid w:val="00036EFE"/>
    <w:rsid w:val="00040162"/>
    <w:rsid w:val="00040BB1"/>
    <w:rsid w:val="00040D4D"/>
    <w:rsid w:val="0004208B"/>
    <w:rsid w:val="0004514B"/>
    <w:rsid w:val="00051BF5"/>
    <w:rsid w:val="0005331D"/>
    <w:rsid w:val="00054090"/>
    <w:rsid w:val="000558C4"/>
    <w:rsid w:val="00055F51"/>
    <w:rsid w:val="00064D8C"/>
    <w:rsid w:val="0006587E"/>
    <w:rsid w:val="000666CF"/>
    <w:rsid w:val="00071556"/>
    <w:rsid w:val="00075502"/>
    <w:rsid w:val="000843AC"/>
    <w:rsid w:val="000853D2"/>
    <w:rsid w:val="00085BAB"/>
    <w:rsid w:val="00085FAC"/>
    <w:rsid w:val="00091B6D"/>
    <w:rsid w:val="00096331"/>
    <w:rsid w:val="000A1F22"/>
    <w:rsid w:val="000A3439"/>
    <w:rsid w:val="000B0332"/>
    <w:rsid w:val="000B0742"/>
    <w:rsid w:val="000B0B23"/>
    <w:rsid w:val="000B7BB7"/>
    <w:rsid w:val="000B7E27"/>
    <w:rsid w:val="000C3BA1"/>
    <w:rsid w:val="000D14A2"/>
    <w:rsid w:val="000D1F13"/>
    <w:rsid w:val="000D22A1"/>
    <w:rsid w:val="000D2AF9"/>
    <w:rsid w:val="000D2E25"/>
    <w:rsid w:val="000D3C77"/>
    <w:rsid w:val="000D507E"/>
    <w:rsid w:val="000D612C"/>
    <w:rsid w:val="000D7FD4"/>
    <w:rsid w:val="000E0890"/>
    <w:rsid w:val="000F27BC"/>
    <w:rsid w:val="000F2D8C"/>
    <w:rsid w:val="000F3C78"/>
    <w:rsid w:val="000F549D"/>
    <w:rsid w:val="000F578D"/>
    <w:rsid w:val="000F62DB"/>
    <w:rsid w:val="0010487B"/>
    <w:rsid w:val="0010773E"/>
    <w:rsid w:val="00113CC2"/>
    <w:rsid w:val="00116230"/>
    <w:rsid w:val="00120D3A"/>
    <w:rsid w:val="001237C9"/>
    <w:rsid w:val="00124AC9"/>
    <w:rsid w:val="00125A48"/>
    <w:rsid w:val="0013288B"/>
    <w:rsid w:val="00132B0C"/>
    <w:rsid w:val="00132EE1"/>
    <w:rsid w:val="00136076"/>
    <w:rsid w:val="00136DD5"/>
    <w:rsid w:val="00137A15"/>
    <w:rsid w:val="001462DF"/>
    <w:rsid w:val="001544F2"/>
    <w:rsid w:val="001563A2"/>
    <w:rsid w:val="00156C3A"/>
    <w:rsid w:val="00157D54"/>
    <w:rsid w:val="00162A1A"/>
    <w:rsid w:val="001724A8"/>
    <w:rsid w:val="00172672"/>
    <w:rsid w:val="00172FB9"/>
    <w:rsid w:val="00180092"/>
    <w:rsid w:val="00183D35"/>
    <w:rsid w:val="001847DD"/>
    <w:rsid w:val="00191053"/>
    <w:rsid w:val="00194BC1"/>
    <w:rsid w:val="001A5901"/>
    <w:rsid w:val="001A761A"/>
    <w:rsid w:val="001B3275"/>
    <w:rsid w:val="001B3731"/>
    <w:rsid w:val="001C08E8"/>
    <w:rsid w:val="001C5741"/>
    <w:rsid w:val="001C70BA"/>
    <w:rsid w:val="001D3F50"/>
    <w:rsid w:val="001D5B5D"/>
    <w:rsid w:val="001D667D"/>
    <w:rsid w:val="001E1CBB"/>
    <w:rsid w:val="001E275F"/>
    <w:rsid w:val="001E3F22"/>
    <w:rsid w:val="001E43EF"/>
    <w:rsid w:val="001F0BD1"/>
    <w:rsid w:val="001F1F3E"/>
    <w:rsid w:val="001F2E20"/>
    <w:rsid w:val="001F7578"/>
    <w:rsid w:val="001F7CFE"/>
    <w:rsid w:val="00201CD8"/>
    <w:rsid w:val="0020577C"/>
    <w:rsid w:val="00206407"/>
    <w:rsid w:val="00206AF6"/>
    <w:rsid w:val="00211BBF"/>
    <w:rsid w:val="00222580"/>
    <w:rsid w:val="0022428C"/>
    <w:rsid w:val="0022488C"/>
    <w:rsid w:val="00224967"/>
    <w:rsid w:val="0022627D"/>
    <w:rsid w:val="00235CC9"/>
    <w:rsid w:val="00237248"/>
    <w:rsid w:val="00243FB8"/>
    <w:rsid w:val="002507ED"/>
    <w:rsid w:val="0025097A"/>
    <w:rsid w:val="002529C7"/>
    <w:rsid w:val="002566D1"/>
    <w:rsid w:val="00260F51"/>
    <w:rsid w:val="00267401"/>
    <w:rsid w:val="00267AF9"/>
    <w:rsid w:val="0027671A"/>
    <w:rsid w:val="002833BB"/>
    <w:rsid w:val="00284876"/>
    <w:rsid w:val="00284BF2"/>
    <w:rsid w:val="002856FB"/>
    <w:rsid w:val="00285C42"/>
    <w:rsid w:val="00286A24"/>
    <w:rsid w:val="002873C2"/>
    <w:rsid w:val="00290A73"/>
    <w:rsid w:val="00291A80"/>
    <w:rsid w:val="002955F5"/>
    <w:rsid w:val="002957A9"/>
    <w:rsid w:val="002957E3"/>
    <w:rsid w:val="002A2E01"/>
    <w:rsid w:val="002A353E"/>
    <w:rsid w:val="002A4451"/>
    <w:rsid w:val="002A4708"/>
    <w:rsid w:val="002A601A"/>
    <w:rsid w:val="002A7EFD"/>
    <w:rsid w:val="002B17A4"/>
    <w:rsid w:val="002B3386"/>
    <w:rsid w:val="002B3526"/>
    <w:rsid w:val="002B7007"/>
    <w:rsid w:val="002B7DBB"/>
    <w:rsid w:val="002C0CCA"/>
    <w:rsid w:val="002C6C3C"/>
    <w:rsid w:val="002C716D"/>
    <w:rsid w:val="002D048D"/>
    <w:rsid w:val="002D275A"/>
    <w:rsid w:val="002D335F"/>
    <w:rsid w:val="002D4740"/>
    <w:rsid w:val="002D6F2C"/>
    <w:rsid w:val="002E44AE"/>
    <w:rsid w:val="002E5583"/>
    <w:rsid w:val="002E6F24"/>
    <w:rsid w:val="002E7B0A"/>
    <w:rsid w:val="002F037C"/>
    <w:rsid w:val="002F34A2"/>
    <w:rsid w:val="002F35D0"/>
    <w:rsid w:val="002F6764"/>
    <w:rsid w:val="002F6D60"/>
    <w:rsid w:val="002F7A34"/>
    <w:rsid w:val="003031DF"/>
    <w:rsid w:val="00303A83"/>
    <w:rsid w:val="003043A3"/>
    <w:rsid w:val="0030486A"/>
    <w:rsid w:val="00307984"/>
    <w:rsid w:val="00307A39"/>
    <w:rsid w:val="00314253"/>
    <w:rsid w:val="00315212"/>
    <w:rsid w:val="00315733"/>
    <w:rsid w:val="00315C99"/>
    <w:rsid w:val="00317A3A"/>
    <w:rsid w:val="00323A96"/>
    <w:rsid w:val="00325008"/>
    <w:rsid w:val="00331CF2"/>
    <w:rsid w:val="00332AEC"/>
    <w:rsid w:val="00334E1B"/>
    <w:rsid w:val="00340E8D"/>
    <w:rsid w:val="0034431A"/>
    <w:rsid w:val="003510C0"/>
    <w:rsid w:val="00353039"/>
    <w:rsid w:val="003568B5"/>
    <w:rsid w:val="00356C90"/>
    <w:rsid w:val="00361F8B"/>
    <w:rsid w:val="003627D3"/>
    <w:rsid w:val="00363FE5"/>
    <w:rsid w:val="00367EC8"/>
    <w:rsid w:val="00374065"/>
    <w:rsid w:val="0037416B"/>
    <w:rsid w:val="00381AB2"/>
    <w:rsid w:val="0038420B"/>
    <w:rsid w:val="00384923"/>
    <w:rsid w:val="00390796"/>
    <w:rsid w:val="00390E8B"/>
    <w:rsid w:val="0039233B"/>
    <w:rsid w:val="003949B0"/>
    <w:rsid w:val="003A084B"/>
    <w:rsid w:val="003A2A0E"/>
    <w:rsid w:val="003A44E5"/>
    <w:rsid w:val="003B1D26"/>
    <w:rsid w:val="003B3A59"/>
    <w:rsid w:val="003B6CBF"/>
    <w:rsid w:val="003C06E0"/>
    <w:rsid w:val="003C0F0B"/>
    <w:rsid w:val="003C3925"/>
    <w:rsid w:val="003C5FFB"/>
    <w:rsid w:val="003D2293"/>
    <w:rsid w:val="003D2956"/>
    <w:rsid w:val="003D2BF5"/>
    <w:rsid w:val="003D4118"/>
    <w:rsid w:val="003D4D20"/>
    <w:rsid w:val="003E0DB9"/>
    <w:rsid w:val="003E3ADB"/>
    <w:rsid w:val="003E58BB"/>
    <w:rsid w:val="003F00ED"/>
    <w:rsid w:val="003F6863"/>
    <w:rsid w:val="004007F9"/>
    <w:rsid w:val="0040554C"/>
    <w:rsid w:val="00406962"/>
    <w:rsid w:val="00412720"/>
    <w:rsid w:val="0041556F"/>
    <w:rsid w:val="00420278"/>
    <w:rsid w:val="00421D0C"/>
    <w:rsid w:val="00422EB2"/>
    <w:rsid w:val="00423552"/>
    <w:rsid w:val="00423673"/>
    <w:rsid w:val="00424D49"/>
    <w:rsid w:val="004276A3"/>
    <w:rsid w:val="00430256"/>
    <w:rsid w:val="004304EF"/>
    <w:rsid w:val="00430BFF"/>
    <w:rsid w:val="0043153F"/>
    <w:rsid w:val="00431DAC"/>
    <w:rsid w:val="004322B1"/>
    <w:rsid w:val="004329E3"/>
    <w:rsid w:val="00432B71"/>
    <w:rsid w:val="004346CD"/>
    <w:rsid w:val="00434A0D"/>
    <w:rsid w:val="00434E67"/>
    <w:rsid w:val="004400D7"/>
    <w:rsid w:val="00443BDD"/>
    <w:rsid w:val="00444F0D"/>
    <w:rsid w:val="00451245"/>
    <w:rsid w:val="00451A8F"/>
    <w:rsid w:val="00453B06"/>
    <w:rsid w:val="00465417"/>
    <w:rsid w:val="00465EBD"/>
    <w:rsid w:val="004661DF"/>
    <w:rsid w:val="00472BFA"/>
    <w:rsid w:val="00473037"/>
    <w:rsid w:val="00474471"/>
    <w:rsid w:val="00474560"/>
    <w:rsid w:val="00474B82"/>
    <w:rsid w:val="00475740"/>
    <w:rsid w:val="004769C0"/>
    <w:rsid w:val="00483890"/>
    <w:rsid w:val="00487746"/>
    <w:rsid w:val="00491010"/>
    <w:rsid w:val="00491637"/>
    <w:rsid w:val="004A1276"/>
    <w:rsid w:val="004A2298"/>
    <w:rsid w:val="004A23C9"/>
    <w:rsid w:val="004B1708"/>
    <w:rsid w:val="004B180A"/>
    <w:rsid w:val="004B4E8E"/>
    <w:rsid w:val="004B773C"/>
    <w:rsid w:val="004C0BDC"/>
    <w:rsid w:val="004C2933"/>
    <w:rsid w:val="004C300C"/>
    <w:rsid w:val="004C3D1C"/>
    <w:rsid w:val="004D1D27"/>
    <w:rsid w:val="004D23F6"/>
    <w:rsid w:val="004E6C03"/>
    <w:rsid w:val="004E6F14"/>
    <w:rsid w:val="004E7DED"/>
    <w:rsid w:val="004F218F"/>
    <w:rsid w:val="004F64C3"/>
    <w:rsid w:val="00500412"/>
    <w:rsid w:val="00501E94"/>
    <w:rsid w:val="00502211"/>
    <w:rsid w:val="005026D8"/>
    <w:rsid w:val="0050741E"/>
    <w:rsid w:val="00511F78"/>
    <w:rsid w:val="00514207"/>
    <w:rsid w:val="005152B8"/>
    <w:rsid w:val="00515A1F"/>
    <w:rsid w:val="00525BEC"/>
    <w:rsid w:val="00530F8F"/>
    <w:rsid w:val="005336C7"/>
    <w:rsid w:val="005435AD"/>
    <w:rsid w:val="0054418D"/>
    <w:rsid w:val="005466C6"/>
    <w:rsid w:val="005510B0"/>
    <w:rsid w:val="00552A7D"/>
    <w:rsid w:val="00555985"/>
    <w:rsid w:val="005577B6"/>
    <w:rsid w:val="0056075C"/>
    <w:rsid w:val="00560A72"/>
    <w:rsid w:val="005635FA"/>
    <w:rsid w:val="005654FB"/>
    <w:rsid w:val="00566AFD"/>
    <w:rsid w:val="00570F96"/>
    <w:rsid w:val="00572143"/>
    <w:rsid w:val="00572EE9"/>
    <w:rsid w:val="00573BD0"/>
    <w:rsid w:val="00576307"/>
    <w:rsid w:val="0058123B"/>
    <w:rsid w:val="00590C30"/>
    <w:rsid w:val="0059235D"/>
    <w:rsid w:val="005958EE"/>
    <w:rsid w:val="005974DB"/>
    <w:rsid w:val="005A0016"/>
    <w:rsid w:val="005A012C"/>
    <w:rsid w:val="005A164F"/>
    <w:rsid w:val="005A4D64"/>
    <w:rsid w:val="005B0B68"/>
    <w:rsid w:val="005B5BCE"/>
    <w:rsid w:val="005B74BA"/>
    <w:rsid w:val="005D0B9F"/>
    <w:rsid w:val="005D3E69"/>
    <w:rsid w:val="005D5982"/>
    <w:rsid w:val="005D6535"/>
    <w:rsid w:val="005E070F"/>
    <w:rsid w:val="005E2A18"/>
    <w:rsid w:val="005E3EA1"/>
    <w:rsid w:val="005E65A2"/>
    <w:rsid w:val="005F0033"/>
    <w:rsid w:val="005F0759"/>
    <w:rsid w:val="005F5F1D"/>
    <w:rsid w:val="00601FE0"/>
    <w:rsid w:val="00605C57"/>
    <w:rsid w:val="00614160"/>
    <w:rsid w:val="00615D41"/>
    <w:rsid w:val="00616FCF"/>
    <w:rsid w:val="00622136"/>
    <w:rsid w:val="00625EB3"/>
    <w:rsid w:val="0063189A"/>
    <w:rsid w:val="006430D9"/>
    <w:rsid w:val="00644137"/>
    <w:rsid w:val="00652B6D"/>
    <w:rsid w:val="00657227"/>
    <w:rsid w:val="006603AE"/>
    <w:rsid w:val="00662C7F"/>
    <w:rsid w:val="00665C06"/>
    <w:rsid w:val="00667958"/>
    <w:rsid w:val="0067248D"/>
    <w:rsid w:val="0067280F"/>
    <w:rsid w:val="0067294C"/>
    <w:rsid w:val="006735FB"/>
    <w:rsid w:val="00677C03"/>
    <w:rsid w:val="00680E1D"/>
    <w:rsid w:val="0068121C"/>
    <w:rsid w:val="006869EE"/>
    <w:rsid w:val="00690D09"/>
    <w:rsid w:val="00693AA6"/>
    <w:rsid w:val="006944CA"/>
    <w:rsid w:val="006A09E1"/>
    <w:rsid w:val="006A3D6A"/>
    <w:rsid w:val="006B205B"/>
    <w:rsid w:val="006C2026"/>
    <w:rsid w:val="006C328F"/>
    <w:rsid w:val="006C7982"/>
    <w:rsid w:val="006E222B"/>
    <w:rsid w:val="006E233C"/>
    <w:rsid w:val="006E2F96"/>
    <w:rsid w:val="006F02AB"/>
    <w:rsid w:val="006F2DEB"/>
    <w:rsid w:val="006F3857"/>
    <w:rsid w:val="006F56ED"/>
    <w:rsid w:val="006F6C27"/>
    <w:rsid w:val="006F7D0E"/>
    <w:rsid w:val="007045E4"/>
    <w:rsid w:val="007210A2"/>
    <w:rsid w:val="00724499"/>
    <w:rsid w:val="00724B47"/>
    <w:rsid w:val="00731874"/>
    <w:rsid w:val="00731E05"/>
    <w:rsid w:val="007320A5"/>
    <w:rsid w:val="00737C8C"/>
    <w:rsid w:val="00742312"/>
    <w:rsid w:val="00743C68"/>
    <w:rsid w:val="00747292"/>
    <w:rsid w:val="00750B3F"/>
    <w:rsid w:val="00755115"/>
    <w:rsid w:val="00761393"/>
    <w:rsid w:val="00766D50"/>
    <w:rsid w:val="007678C3"/>
    <w:rsid w:val="0077584E"/>
    <w:rsid w:val="007770CA"/>
    <w:rsid w:val="007816C6"/>
    <w:rsid w:val="00784F8E"/>
    <w:rsid w:val="00786977"/>
    <w:rsid w:val="00790240"/>
    <w:rsid w:val="00791DC0"/>
    <w:rsid w:val="007928C0"/>
    <w:rsid w:val="007938C2"/>
    <w:rsid w:val="00794C30"/>
    <w:rsid w:val="0079659E"/>
    <w:rsid w:val="007A5DE5"/>
    <w:rsid w:val="007A6FFA"/>
    <w:rsid w:val="007B1AF6"/>
    <w:rsid w:val="007B1AFF"/>
    <w:rsid w:val="007B32DB"/>
    <w:rsid w:val="007B4DEC"/>
    <w:rsid w:val="007B7214"/>
    <w:rsid w:val="007B79AA"/>
    <w:rsid w:val="007C081E"/>
    <w:rsid w:val="007C3162"/>
    <w:rsid w:val="007C6437"/>
    <w:rsid w:val="007D2F91"/>
    <w:rsid w:val="007E1AE9"/>
    <w:rsid w:val="007E1CBE"/>
    <w:rsid w:val="007E2B17"/>
    <w:rsid w:val="007E3E66"/>
    <w:rsid w:val="007F0912"/>
    <w:rsid w:val="007F1826"/>
    <w:rsid w:val="007F3104"/>
    <w:rsid w:val="007F3159"/>
    <w:rsid w:val="007F3F3D"/>
    <w:rsid w:val="007F514C"/>
    <w:rsid w:val="0080050A"/>
    <w:rsid w:val="00804ACB"/>
    <w:rsid w:val="00806BBC"/>
    <w:rsid w:val="0080746B"/>
    <w:rsid w:val="00807AEB"/>
    <w:rsid w:val="00807E64"/>
    <w:rsid w:val="0081003B"/>
    <w:rsid w:val="0081015A"/>
    <w:rsid w:val="00811047"/>
    <w:rsid w:val="0081234B"/>
    <w:rsid w:val="008145CD"/>
    <w:rsid w:val="00830283"/>
    <w:rsid w:val="008302F8"/>
    <w:rsid w:val="0083118E"/>
    <w:rsid w:val="00831529"/>
    <w:rsid w:val="00831BBF"/>
    <w:rsid w:val="00831F8F"/>
    <w:rsid w:val="008328C9"/>
    <w:rsid w:val="00832BE2"/>
    <w:rsid w:val="00835226"/>
    <w:rsid w:val="00842BDB"/>
    <w:rsid w:val="00845288"/>
    <w:rsid w:val="00851D0C"/>
    <w:rsid w:val="00854ACC"/>
    <w:rsid w:val="0085689D"/>
    <w:rsid w:val="008578B5"/>
    <w:rsid w:val="00861CB5"/>
    <w:rsid w:val="00863C7A"/>
    <w:rsid w:val="00864265"/>
    <w:rsid w:val="008654B8"/>
    <w:rsid w:val="00865647"/>
    <w:rsid w:val="00865C3D"/>
    <w:rsid w:val="00873045"/>
    <w:rsid w:val="00881DA1"/>
    <w:rsid w:val="00885FEE"/>
    <w:rsid w:val="008872F3"/>
    <w:rsid w:val="00890ED9"/>
    <w:rsid w:val="008923BF"/>
    <w:rsid w:val="008923EF"/>
    <w:rsid w:val="00892590"/>
    <w:rsid w:val="008938AF"/>
    <w:rsid w:val="00893FED"/>
    <w:rsid w:val="0089532C"/>
    <w:rsid w:val="00895748"/>
    <w:rsid w:val="008968F5"/>
    <w:rsid w:val="0089728B"/>
    <w:rsid w:val="008A2735"/>
    <w:rsid w:val="008B0B32"/>
    <w:rsid w:val="008B143D"/>
    <w:rsid w:val="008B22CC"/>
    <w:rsid w:val="008B3F9A"/>
    <w:rsid w:val="008B5A3C"/>
    <w:rsid w:val="008B5B27"/>
    <w:rsid w:val="008C6C3E"/>
    <w:rsid w:val="008D137F"/>
    <w:rsid w:val="008D5360"/>
    <w:rsid w:val="008D55B8"/>
    <w:rsid w:val="008D5850"/>
    <w:rsid w:val="008D653A"/>
    <w:rsid w:val="008E60A1"/>
    <w:rsid w:val="008E66B0"/>
    <w:rsid w:val="008F2230"/>
    <w:rsid w:val="008F5A98"/>
    <w:rsid w:val="00900762"/>
    <w:rsid w:val="00900DAC"/>
    <w:rsid w:val="009067C0"/>
    <w:rsid w:val="00906890"/>
    <w:rsid w:val="00910A32"/>
    <w:rsid w:val="00924DE4"/>
    <w:rsid w:val="00927B8B"/>
    <w:rsid w:val="00932821"/>
    <w:rsid w:val="009344E1"/>
    <w:rsid w:val="00940021"/>
    <w:rsid w:val="0094584F"/>
    <w:rsid w:val="00952359"/>
    <w:rsid w:val="009531E9"/>
    <w:rsid w:val="00960A80"/>
    <w:rsid w:val="00963D8E"/>
    <w:rsid w:val="00963DD2"/>
    <w:rsid w:val="00967161"/>
    <w:rsid w:val="00970181"/>
    <w:rsid w:val="00975198"/>
    <w:rsid w:val="0097703A"/>
    <w:rsid w:val="0098020F"/>
    <w:rsid w:val="00982702"/>
    <w:rsid w:val="00984007"/>
    <w:rsid w:val="00987B1D"/>
    <w:rsid w:val="009920B4"/>
    <w:rsid w:val="00992B64"/>
    <w:rsid w:val="00993C9B"/>
    <w:rsid w:val="00994DFC"/>
    <w:rsid w:val="009966B4"/>
    <w:rsid w:val="009966F7"/>
    <w:rsid w:val="00996735"/>
    <w:rsid w:val="00996797"/>
    <w:rsid w:val="009973EA"/>
    <w:rsid w:val="0099798B"/>
    <w:rsid w:val="009A1771"/>
    <w:rsid w:val="009A1820"/>
    <w:rsid w:val="009A2211"/>
    <w:rsid w:val="009A24E2"/>
    <w:rsid w:val="009A795A"/>
    <w:rsid w:val="009B0EB3"/>
    <w:rsid w:val="009B4150"/>
    <w:rsid w:val="009B45BD"/>
    <w:rsid w:val="009C4167"/>
    <w:rsid w:val="009C4C5D"/>
    <w:rsid w:val="009C5718"/>
    <w:rsid w:val="009C60CB"/>
    <w:rsid w:val="009C6AED"/>
    <w:rsid w:val="009D3E87"/>
    <w:rsid w:val="009D4F1D"/>
    <w:rsid w:val="009D4FFF"/>
    <w:rsid w:val="009D59B6"/>
    <w:rsid w:val="009D7BDC"/>
    <w:rsid w:val="009E09AD"/>
    <w:rsid w:val="009E41ED"/>
    <w:rsid w:val="009E7C2A"/>
    <w:rsid w:val="009F2100"/>
    <w:rsid w:val="009F2B01"/>
    <w:rsid w:val="009F40CF"/>
    <w:rsid w:val="009F4EFE"/>
    <w:rsid w:val="009F69E5"/>
    <w:rsid w:val="00A007D7"/>
    <w:rsid w:val="00A03C44"/>
    <w:rsid w:val="00A04417"/>
    <w:rsid w:val="00A05C5B"/>
    <w:rsid w:val="00A05FF6"/>
    <w:rsid w:val="00A10141"/>
    <w:rsid w:val="00A1082B"/>
    <w:rsid w:val="00A12920"/>
    <w:rsid w:val="00A151AA"/>
    <w:rsid w:val="00A179AA"/>
    <w:rsid w:val="00A277AB"/>
    <w:rsid w:val="00A37B64"/>
    <w:rsid w:val="00A404E0"/>
    <w:rsid w:val="00A42B88"/>
    <w:rsid w:val="00A44CE5"/>
    <w:rsid w:val="00A45918"/>
    <w:rsid w:val="00A548A7"/>
    <w:rsid w:val="00A55DAB"/>
    <w:rsid w:val="00A62A9C"/>
    <w:rsid w:val="00A63B83"/>
    <w:rsid w:val="00A64161"/>
    <w:rsid w:val="00A65F06"/>
    <w:rsid w:val="00A67491"/>
    <w:rsid w:val="00A711C7"/>
    <w:rsid w:val="00A71241"/>
    <w:rsid w:val="00A73455"/>
    <w:rsid w:val="00A734B8"/>
    <w:rsid w:val="00A74AA3"/>
    <w:rsid w:val="00A7605A"/>
    <w:rsid w:val="00A80078"/>
    <w:rsid w:val="00A82FBD"/>
    <w:rsid w:val="00A84537"/>
    <w:rsid w:val="00A84B08"/>
    <w:rsid w:val="00A876D2"/>
    <w:rsid w:val="00AA26A4"/>
    <w:rsid w:val="00AA467A"/>
    <w:rsid w:val="00AA4705"/>
    <w:rsid w:val="00AA6FEC"/>
    <w:rsid w:val="00AA7EAB"/>
    <w:rsid w:val="00AB0184"/>
    <w:rsid w:val="00AB2628"/>
    <w:rsid w:val="00AB65EA"/>
    <w:rsid w:val="00AC02F7"/>
    <w:rsid w:val="00AC1B01"/>
    <w:rsid w:val="00AC236B"/>
    <w:rsid w:val="00AC38FA"/>
    <w:rsid w:val="00AD0D2B"/>
    <w:rsid w:val="00AD1698"/>
    <w:rsid w:val="00AD4427"/>
    <w:rsid w:val="00AE120D"/>
    <w:rsid w:val="00AE1357"/>
    <w:rsid w:val="00AF2737"/>
    <w:rsid w:val="00AF5210"/>
    <w:rsid w:val="00AF5F8E"/>
    <w:rsid w:val="00AF71AC"/>
    <w:rsid w:val="00AF77AC"/>
    <w:rsid w:val="00AF789E"/>
    <w:rsid w:val="00B01F7C"/>
    <w:rsid w:val="00B06995"/>
    <w:rsid w:val="00B10159"/>
    <w:rsid w:val="00B23955"/>
    <w:rsid w:val="00B23E16"/>
    <w:rsid w:val="00B27BEF"/>
    <w:rsid w:val="00B31D20"/>
    <w:rsid w:val="00B32A73"/>
    <w:rsid w:val="00B407AD"/>
    <w:rsid w:val="00B42F48"/>
    <w:rsid w:val="00B56032"/>
    <w:rsid w:val="00B5724A"/>
    <w:rsid w:val="00B57D30"/>
    <w:rsid w:val="00B57EE0"/>
    <w:rsid w:val="00B64095"/>
    <w:rsid w:val="00B6736D"/>
    <w:rsid w:val="00B70127"/>
    <w:rsid w:val="00B70C7D"/>
    <w:rsid w:val="00B718D7"/>
    <w:rsid w:val="00B76BD0"/>
    <w:rsid w:val="00B85C27"/>
    <w:rsid w:val="00B86EBC"/>
    <w:rsid w:val="00B91005"/>
    <w:rsid w:val="00B91F8E"/>
    <w:rsid w:val="00BA0221"/>
    <w:rsid w:val="00BA1305"/>
    <w:rsid w:val="00BA3DE8"/>
    <w:rsid w:val="00BA737D"/>
    <w:rsid w:val="00BB1145"/>
    <w:rsid w:val="00BB46AD"/>
    <w:rsid w:val="00BB6A47"/>
    <w:rsid w:val="00BB7F4F"/>
    <w:rsid w:val="00BC3DFB"/>
    <w:rsid w:val="00BD2F6E"/>
    <w:rsid w:val="00BD6339"/>
    <w:rsid w:val="00BD73CA"/>
    <w:rsid w:val="00BD7801"/>
    <w:rsid w:val="00BE267E"/>
    <w:rsid w:val="00BF78CA"/>
    <w:rsid w:val="00C01616"/>
    <w:rsid w:val="00C01745"/>
    <w:rsid w:val="00C03CC8"/>
    <w:rsid w:val="00C10E93"/>
    <w:rsid w:val="00C12D51"/>
    <w:rsid w:val="00C15E51"/>
    <w:rsid w:val="00C16E42"/>
    <w:rsid w:val="00C17C56"/>
    <w:rsid w:val="00C2252F"/>
    <w:rsid w:val="00C27C88"/>
    <w:rsid w:val="00C34583"/>
    <w:rsid w:val="00C43AD2"/>
    <w:rsid w:val="00C453B4"/>
    <w:rsid w:val="00C52033"/>
    <w:rsid w:val="00C5281A"/>
    <w:rsid w:val="00C56956"/>
    <w:rsid w:val="00C57887"/>
    <w:rsid w:val="00C613C0"/>
    <w:rsid w:val="00C61D2C"/>
    <w:rsid w:val="00C627E8"/>
    <w:rsid w:val="00C653BC"/>
    <w:rsid w:val="00C7033F"/>
    <w:rsid w:val="00C86A26"/>
    <w:rsid w:val="00C8703C"/>
    <w:rsid w:val="00C87483"/>
    <w:rsid w:val="00C90BE9"/>
    <w:rsid w:val="00C91578"/>
    <w:rsid w:val="00C927BE"/>
    <w:rsid w:val="00C9369D"/>
    <w:rsid w:val="00C93F85"/>
    <w:rsid w:val="00C96C0D"/>
    <w:rsid w:val="00CB3FFC"/>
    <w:rsid w:val="00CB4B39"/>
    <w:rsid w:val="00CB7B5E"/>
    <w:rsid w:val="00CC3374"/>
    <w:rsid w:val="00CC6609"/>
    <w:rsid w:val="00CD12DF"/>
    <w:rsid w:val="00CD1997"/>
    <w:rsid w:val="00CD2ADD"/>
    <w:rsid w:val="00CD3625"/>
    <w:rsid w:val="00CD39C0"/>
    <w:rsid w:val="00CD449E"/>
    <w:rsid w:val="00CD5466"/>
    <w:rsid w:val="00CD576A"/>
    <w:rsid w:val="00CD6199"/>
    <w:rsid w:val="00CD75CE"/>
    <w:rsid w:val="00CE04A6"/>
    <w:rsid w:val="00CE0D9C"/>
    <w:rsid w:val="00CF1D47"/>
    <w:rsid w:val="00CF75CA"/>
    <w:rsid w:val="00D009A1"/>
    <w:rsid w:val="00D02C8E"/>
    <w:rsid w:val="00D07A31"/>
    <w:rsid w:val="00D111C4"/>
    <w:rsid w:val="00D1134B"/>
    <w:rsid w:val="00D23687"/>
    <w:rsid w:val="00D2443E"/>
    <w:rsid w:val="00D268AF"/>
    <w:rsid w:val="00D271A2"/>
    <w:rsid w:val="00D27FA6"/>
    <w:rsid w:val="00D32078"/>
    <w:rsid w:val="00D337AD"/>
    <w:rsid w:val="00D34C9B"/>
    <w:rsid w:val="00D419F9"/>
    <w:rsid w:val="00D4373F"/>
    <w:rsid w:val="00D44B68"/>
    <w:rsid w:val="00D44F6B"/>
    <w:rsid w:val="00D462CD"/>
    <w:rsid w:val="00D56013"/>
    <w:rsid w:val="00D606A7"/>
    <w:rsid w:val="00D72FFA"/>
    <w:rsid w:val="00D77248"/>
    <w:rsid w:val="00D805E0"/>
    <w:rsid w:val="00D8282C"/>
    <w:rsid w:val="00D87D79"/>
    <w:rsid w:val="00DA7602"/>
    <w:rsid w:val="00DC14A1"/>
    <w:rsid w:val="00DC1FDC"/>
    <w:rsid w:val="00DC28D4"/>
    <w:rsid w:val="00DC2BCA"/>
    <w:rsid w:val="00DD12C8"/>
    <w:rsid w:val="00DD1447"/>
    <w:rsid w:val="00DD2429"/>
    <w:rsid w:val="00DD30CF"/>
    <w:rsid w:val="00DD440B"/>
    <w:rsid w:val="00DD4FB5"/>
    <w:rsid w:val="00DE1F37"/>
    <w:rsid w:val="00DE2721"/>
    <w:rsid w:val="00DE2ED0"/>
    <w:rsid w:val="00DE7848"/>
    <w:rsid w:val="00DF0B94"/>
    <w:rsid w:val="00DF1F80"/>
    <w:rsid w:val="00DF5956"/>
    <w:rsid w:val="00E0241F"/>
    <w:rsid w:val="00E024D5"/>
    <w:rsid w:val="00E04A27"/>
    <w:rsid w:val="00E05E92"/>
    <w:rsid w:val="00E07691"/>
    <w:rsid w:val="00E07C4E"/>
    <w:rsid w:val="00E10365"/>
    <w:rsid w:val="00E106F5"/>
    <w:rsid w:val="00E1271C"/>
    <w:rsid w:val="00E15ECC"/>
    <w:rsid w:val="00E247A3"/>
    <w:rsid w:val="00E2500D"/>
    <w:rsid w:val="00E26BCC"/>
    <w:rsid w:val="00E27503"/>
    <w:rsid w:val="00E30150"/>
    <w:rsid w:val="00E30ACF"/>
    <w:rsid w:val="00E31B10"/>
    <w:rsid w:val="00E32DE3"/>
    <w:rsid w:val="00E346CE"/>
    <w:rsid w:val="00E3518A"/>
    <w:rsid w:val="00E36A5F"/>
    <w:rsid w:val="00E40CA8"/>
    <w:rsid w:val="00E43993"/>
    <w:rsid w:val="00E45D4F"/>
    <w:rsid w:val="00E462DC"/>
    <w:rsid w:val="00E5263C"/>
    <w:rsid w:val="00E52CE5"/>
    <w:rsid w:val="00E53675"/>
    <w:rsid w:val="00E56297"/>
    <w:rsid w:val="00E62965"/>
    <w:rsid w:val="00E63169"/>
    <w:rsid w:val="00E67FF0"/>
    <w:rsid w:val="00E81EF4"/>
    <w:rsid w:val="00E84702"/>
    <w:rsid w:val="00E8588D"/>
    <w:rsid w:val="00E9342B"/>
    <w:rsid w:val="00E96737"/>
    <w:rsid w:val="00E969D7"/>
    <w:rsid w:val="00EA7D2A"/>
    <w:rsid w:val="00EB1709"/>
    <w:rsid w:val="00EB29D2"/>
    <w:rsid w:val="00EB3B18"/>
    <w:rsid w:val="00EB42F3"/>
    <w:rsid w:val="00EB468B"/>
    <w:rsid w:val="00EC58D1"/>
    <w:rsid w:val="00EC77CE"/>
    <w:rsid w:val="00ED16AD"/>
    <w:rsid w:val="00ED2E4E"/>
    <w:rsid w:val="00ED7D1D"/>
    <w:rsid w:val="00EE7144"/>
    <w:rsid w:val="00EF45E7"/>
    <w:rsid w:val="00EF55BF"/>
    <w:rsid w:val="00F02559"/>
    <w:rsid w:val="00F061FE"/>
    <w:rsid w:val="00F06ACD"/>
    <w:rsid w:val="00F075F3"/>
    <w:rsid w:val="00F10E1D"/>
    <w:rsid w:val="00F10F0C"/>
    <w:rsid w:val="00F11793"/>
    <w:rsid w:val="00F13729"/>
    <w:rsid w:val="00F200A9"/>
    <w:rsid w:val="00F20A53"/>
    <w:rsid w:val="00F220B9"/>
    <w:rsid w:val="00F26146"/>
    <w:rsid w:val="00F269F6"/>
    <w:rsid w:val="00F32F58"/>
    <w:rsid w:val="00F37DFC"/>
    <w:rsid w:val="00F53582"/>
    <w:rsid w:val="00F53EC8"/>
    <w:rsid w:val="00F5604B"/>
    <w:rsid w:val="00F57334"/>
    <w:rsid w:val="00F62FD7"/>
    <w:rsid w:val="00F642A2"/>
    <w:rsid w:val="00F66398"/>
    <w:rsid w:val="00F72D53"/>
    <w:rsid w:val="00F7317D"/>
    <w:rsid w:val="00F73B0D"/>
    <w:rsid w:val="00F75167"/>
    <w:rsid w:val="00F767C8"/>
    <w:rsid w:val="00F77703"/>
    <w:rsid w:val="00F80931"/>
    <w:rsid w:val="00F8541B"/>
    <w:rsid w:val="00F87E76"/>
    <w:rsid w:val="00F93F8C"/>
    <w:rsid w:val="00FA3219"/>
    <w:rsid w:val="00FB117F"/>
    <w:rsid w:val="00FD0791"/>
    <w:rsid w:val="00FD174E"/>
    <w:rsid w:val="00FD1D7C"/>
    <w:rsid w:val="00FD2665"/>
    <w:rsid w:val="00FD70A1"/>
    <w:rsid w:val="00FE0051"/>
    <w:rsid w:val="00FE01D8"/>
    <w:rsid w:val="00FE090A"/>
    <w:rsid w:val="00FE099D"/>
    <w:rsid w:val="00FE3614"/>
    <w:rsid w:val="00FF1542"/>
    <w:rsid w:val="00FF5990"/>
    <w:rsid w:val="00FF5FCC"/>
    <w:rsid w:val="00FF60FF"/>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C0"/>
    <w:pPr>
      <w:spacing w:line="276" w:lineRule="auto"/>
    </w:pPr>
    <w:rPr>
      <w:rFonts w:ascii="Calibri" w:hAnsi="Calibri"/>
    </w:rPr>
  </w:style>
  <w:style w:type="paragraph" w:styleId="Heading1">
    <w:name w:val="heading 1"/>
    <w:basedOn w:val="Normal"/>
    <w:next w:val="Normal"/>
    <w:link w:val="Heading1Char"/>
    <w:autoRedefine/>
    <w:uiPriority w:val="9"/>
    <w:qFormat/>
    <w:rsid w:val="003C06E0"/>
    <w:pPr>
      <w:keepNext/>
      <w:keepLines/>
      <w:outlineLvl w:val="0"/>
    </w:pPr>
    <w:rPr>
      <w:rFonts w:asciiTheme="minorHAnsi" w:eastAsiaTheme="majorEastAsia" w:hAnsiTheme="minorHAnsi" w:cstheme="majorBidi"/>
      <w:b/>
      <w:sz w:val="44"/>
      <w:szCs w:val="44"/>
      <w:lang w:val="fr-FR"/>
    </w:rPr>
  </w:style>
  <w:style w:type="paragraph" w:styleId="Heading2">
    <w:name w:val="heading 2"/>
    <w:basedOn w:val="Normal"/>
    <w:next w:val="Normal"/>
    <w:link w:val="Heading2Char"/>
    <w:autoRedefine/>
    <w:uiPriority w:val="9"/>
    <w:unhideWhenUsed/>
    <w:qFormat/>
    <w:rsid w:val="00421D0C"/>
    <w:pPr>
      <w:keepNext/>
      <w:keepLines/>
      <w:outlineLvl w:val="1"/>
    </w:pPr>
    <w:rPr>
      <w:rFonts w:asciiTheme="minorHAnsi" w:eastAsiaTheme="majorEastAsia" w:hAnsiTheme="minorHAnsi" w:cstheme="majorBidi"/>
      <w:b/>
      <w:color w:val="23B2BE"/>
      <w:sz w:val="36"/>
      <w:szCs w:val="26"/>
    </w:rPr>
  </w:style>
  <w:style w:type="paragraph" w:styleId="Heading3">
    <w:name w:val="heading 3"/>
    <w:basedOn w:val="Normal"/>
    <w:next w:val="Normal"/>
    <w:link w:val="Heading3Char"/>
    <w:autoRedefine/>
    <w:qFormat/>
    <w:rsid w:val="00F20A53"/>
    <w:pPr>
      <w:keepNext/>
      <w:keepLines/>
      <w:spacing w:line="192" w:lineRule="auto"/>
      <w:outlineLvl w:val="2"/>
    </w:pPr>
    <w:rPr>
      <w:rFonts w:asciiTheme="minorHAnsi" w:eastAsia="Times New Roman" w:hAnsiTheme="minorHAnsi" w:cs="Times New Roman"/>
      <w:b/>
      <w:bCs/>
      <w:color w:val="23B2BE"/>
      <w:sz w:val="28"/>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autoRedefine/>
    <w:uiPriority w:val="34"/>
    <w:qFormat/>
    <w:rsid w:val="009973EA"/>
    <w:pPr>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F20A53"/>
    <w:rPr>
      <w:rFonts w:eastAsia="Times New Roman" w:cs="Times New Roman"/>
      <w:b/>
      <w:bCs/>
      <w:color w:val="23B2BE"/>
      <w:sz w:val="28"/>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eastAsia="Times New Roman"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9973EA"/>
    <w:rPr>
      <w:rFonts w:ascii="Calibri" w:eastAsia="Times New Roman" w:hAnsi="Calibri" w:cs="Calibri Light"/>
      <w:color w:val="000000"/>
      <w:spacing w:val="4"/>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3C06E0"/>
    <w:rPr>
      <w:rFonts w:eastAsiaTheme="majorEastAsia" w:cstheme="majorBidi"/>
      <w:b/>
      <w:sz w:val="44"/>
      <w:szCs w:val="44"/>
      <w:lang w:val="fr-FR"/>
    </w:rPr>
  </w:style>
  <w:style w:type="character" w:customStyle="1" w:styleId="Heading2Char">
    <w:name w:val="Heading 2 Char"/>
    <w:basedOn w:val="DefaultParagraphFont"/>
    <w:link w:val="Heading2"/>
    <w:uiPriority w:val="9"/>
    <w:rsid w:val="00421D0C"/>
    <w:rPr>
      <w:rFonts w:eastAsiaTheme="majorEastAsia" w:cstheme="majorBidi"/>
      <w:b/>
      <w:color w:val="23B2BE"/>
      <w:sz w:val="36"/>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9973EA"/>
    <w:pPr>
      <w:tabs>
        <w:tab w:val="right" w:leader="dot" w:pos="9350"/>
      </w:tabs>
      <w:spacing w:after="100"/>
      <w:ind w:left="220"/>
    </w:pPr>
  </w:style>
  <w:style w:type="paragraph" w:styleId="TOC3">
    <w:name w:val="toc 3"/>
    <w:basedOn w:val="Normal"/>
    <w:next w:val="Normal"/>
    <w:autoRedefine/>
    <w:uiPriority w:val="39"/>
    <w:unhideWhenUsed/>
    <w:rsid w:val="005D5982"/>
    <w:pPr>
      <w:tabs>
        <w:tab w:val="right" w:leader="dot" w:pos="9350"/>
      </w:tabs>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eastAsia="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Coding">
    <w:name w:val="Coding"/>
    <w:basedOn w:val="Normal"/>
    <w:next w:val="Normal"/>
    <w:qFormat/>
    <w:rsid w:val="00E462DC"/>
    <w:pPr>
      <w:keepLines/>
      <w:widowControl w:val="0"/>
      <w:spacing w:line="264" w:lineRule="auto"/>
      <w:ind w:left="1440" w:hanging="720"/>
    </w:pPr>
    <w:rPr>
      <w:rFonts w:ascii="Arial" w:eastAsia="Times New Roman" w:hAnsi="Arial" w:cs="Arial"/>
      <w:sz w:val="20"/>
      <w:szCs w:val="20"/>
      <w:lang w:val="fr-CA" w:eastAsia="fr-CA" w:bidi="fr-CA"/>
    </w:rPr>
  </w:style>
  <w:style w:type="character" w:customStyle="1" w:styleId="UnresolvedMention2">
    <w:name w:val="Unresolved Mention2"/>
    <w:basedOn w:val="DefaultParagraphFont"/>
    <w:uiPriority w:val="99"/>
    <w:semiHidden/>
    <w:unhideWhenUsed/>
    <w:rsid w:val="0037416B"/>
    <w:rPr>
      <w:color w:val="605E5C"/>
      <w:shd w:val="clear" w:color="auto" w:fill="E1DFDD"/>
    </w:rPr>
  </w:style>
  <w:style w:type="paragraph" w:customStyle="1" w:styleId="SubheadingnotlinkedtoToC">
    <w:name w:val="Subheading (not linked to ToC)"/>
    <w:basedOn w:val="Normal"/>
    <w:link w:val="SubheadingnotlinkedtoToCChar"/>
    <w:autoRedefine/>
    <w:qFormat/>
    <w:rsid w:val="005D5982"/>
    <w:pPr>
      <w:spacing w:after="80"/>
    </w:pPr>
    <w:rPr>
      <w:rFonts w:asciiTheme="minorHAnsi" w:hAnsiTheme="minorHAnsi" w:cstheme="minorHAnsi"/>
      <w:b/>
      <w:iCs/>
      <w:color w:val="23B2BE"/>
    </w:rPr>
  </w:style>
  <w:style w:type="paragraph" w:styleId="Quote">
    <w:name w:val="Quote"/>
    <w:basedOn w:val="Normal"/>
    <w:next w:val="Normal"/>
    <w:link w:val="QuoteChar"/>
    <w:autoRedefine/>
    <w:uiPriority w:val="29"/>
    <w:qFormat/>
    <w:rsid w:val="009973EA"/>
    <w:pPr>
      <w:spacing w:before="120" w:after="120"/>
      <w:ind w:left="864" w:right="864"/>
    </w:pPr>
    <w:rPr>
      <w:i/>
      <w:iCs/>
      <w:color w:val="404040" w:themeColor="text1" w:themeTint="BF"/>
    </w:rPr>
  </w:style>
  <w:style w:type="character" w:customStyle="1" w:styleId="SubheadingnotlinkedtoToCChar">
    <w:name w:val="Subheading (not linked to ToC) Char"/>
    <w:basedOn w:val="DefaultParagraphFont"/>
    <w:link w:val="SubheadingnotlinkedtoToC"/>
    <w:rsid w:val="005D5982"/>
    <w:rPr>
      <w:rFonts w:cstheme="minorHAnsi"/>
      <w:b/>
      <w:iCs/>
      <w:color w:val="23B2BE"/>
    </w:rPr>
  </w:style>
  <w:style w:type="character" w:customStyle="1" w:styleId="QuoteChar">
    <w:name w:val="Quote Char"/>
    <w:basedOn w:val="DefaultParagraphFont"/>
    <w:link w:val="Quote"/>
    <w:uiPriority w:val="29"/>
    <w:rsid w:val="009973EA"/>
    <w:rPr>
      <w:rFonts w:ascii="Calibri" w:hAnsi="Calibri"/>
      <w:i/>
      <w:iCs/>
      <w:color w:val="404040" w:themeColor="text1" w:themeTint="BF"/>
    </w:rPr>
  </w:style>
  <w:style w:type="character" w:customStyle="1" w:styleId="UnresolvedMention3">
    <w:name w:val="Unresolved Mention3"/>
    <w:basedOn w:val="DefaultParagraphFont"/>
    <w:uiPriority w:val="99"/>
    <w:semiHidden/>
    <w:unhideWhenUsed/>
    <w:rsid w:val="008F5A98"/>
    <w:rPr>
      <w:color w:val="605E5C"/>
      <w:shd w:val="clear" w:color="auto" w:fill="E1DFDD"/>
    </w:rPr>
  </w:style>
  <w:style w:type="character" w:customStyle="1" w:styleId="UnresolvedMention4">
    <w:name w:val="Unresolved Mention4"/>
    <w:basedOn w:val="DefaultParagraphFont"/>
    <w:uiPriority w:val="99"/>
    <w:semiHidden/>
    <w:unhideWhenUsed/>
    <w:rsid w:val="00E8588D"/>
    <w:rPr>
      <w:color w:val="605E5C"/>
      <w:shd w:val="clear" w:color="auto" w:fill="E1DFDD"/>
    </w:rPr>
  </w:style>
  <w:style w:type="character" w:styleId="UnresolvedMention">
    <w:name w:val="Unresolved Mention"/>
    <w:basedOn w:val="DefaultParagraphFont"/>
    <w:uiPriority w:val="99"/>
    <w:semiHidden/>
    <w:unhideWhenUsed/>
    <w:rsid w:val="00F7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3005">
      <w:bodyDiv w:val="1"/>
      <w:marLeft w:val="0"/>
      <w:marRight w:val="0"/>
      <w:marTop w:val="0"/>
      <w:marBottom w:val="0"/>
      <w:divBdr>
        <w:top w:val="none" w:sz="0" w:space="0" w:color="auto"/>
        <w:left w:val="none" w:sz="0" w:space="0" w:color="auto"/>
        <w:bottom w:val="none" w:sz="0" w:space="0" w:color="auto"/>
        <w:right w:val="none" w:sz="0" w:space="0" w:color="auto"/>
      </w:divBdr>
    </w:div>
    <w:div w:id="382338382">
      <w:bodyDiv w:val="1"/>
      <w:marLeft w:val="0"/>
      <w:marRight w:val="0"/>
      <w:marTop w:val="0"/>
      <w:marBottom w:val="0"/>
      <w:divBdr>
        <w:top w:val="none" w:sz="0" w:space="0" w:color="auto"/>
        <w:left w:val="none" w:sz="0" w:space="0" w:color="auto"/>
        <w:bottom w:val="none" w:sz="0" w:space="0" w:color="auto"/>
        <w:right w:val="none" w:sz="0" w:space="0" w:color="auto"/>
      </w:divBdr>
    </w:div>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216505551">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22891722">
      <w:bodyDiv w:val="1"/>
      <w:marLeft w:val="0"/>
      <w:marRight w:val="0"/>
      <w:marTop w:val="0"/>
      <w:marBottom w:val="0"/>
      <w:divBdr>
        <w:top w:val="none" w:sz="0" w:space="0" w:color="auto"/>
        <w:left w:val="none" w:sz="0" w:space="0" w:color="auto"/>
        <w:bottom w:val="none" w:sz="0" w:space="0" w:color="auto"/>
        <w:right w:val="none" w:sz="0" w:space="0" w:color="auto"/>
      </w:divBdr>
    </w:div>
    <w:div w:id="1964075567">
      <w:bodyDiv w:val="1"/>
      <w:marLeft w:val="0"/>
      <w:marRight w:val="0"/>
      <w:marTop w:val="0"/>
      <w:marBottom w:val="0"/>
      <w:divBdr>
        <w:top w:val="none" w:sz="0" w:space="0" w:color="auto"/>
        <w:left w:val="none" w:sz="0" w:space="0" w:color="auto"/>
        <w:bottom w:val="none" w:sz="0" w:space="0" w:color="auto"/>
        <w:right w:val="none" w:sz="0" w:space="0" w:color="auto"/>
      </w:divBdr>
      <w:divsChild>
        <w:div w:id="197613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hyperlink" Target="mailto:pmacintosh@narrativeresea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forces.g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97BC-EC4C-47F1-BD9F-2D6FEF0A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DND 2022-23 ACET POR 009-22 Exec Summary FR</dc:title>
  <dc:subject/>
  <dc:creator>Narrative Research</dc:creator>
  <cp:keywords/>
  <dc:description/>
  <cp:lastModifiedBy>Fiona Bromige</cp:lastModifiedBy>
  <cp:revision>7</cp:revision>
  <cp:lastPrinted>2021-07-26T12:35:00Z</cp:lastPrinted>
  <dcterms:created xsi:type="dcterms:W3CDTF">2023-03-24T14:14:00Z</dcterms:created>
  <dcterms:modified xsi:type="dcterms:W3CDTF">2023-03-28T13:52:00Z</dcterms:modified>
</cp:coreProperties>
</file>