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C9" w:rsidRDefault="005063C9" w:rsidP="005063C9">
      <w:pPr>
        <w:ind w:right="446"/>
        <w:jc w:val="left"/>
        <w:rPr>
          <w:rFonts w:asciiTheme="minorHAnsi" w:hAnsiTheme="minorHAnsi"/>
          <w:b/>
          <w:i/>
          <w:sz w:val="56"/>
        </w:rPr>
      </w:pPr>
      <w:r>
        <w:rPr>
          <w:noProof/>
          <w:lang w:val="en-CA" w:eastAsia="en-CA"/>
        </w:rPr>
        <w:drawing>
          <wp:inline distT="0" distB="0" distL="0" distR="0" wp14:anchorId="1F692A6C" wp14:editId="208D3D4A">
            <wp:extent cx="25359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6431" cy="352437"/>
                    </a:xfrm>
                    <a:prstGeom prst="rect">
                      <a:avLst/>
                    </a:prstGeom>
                  </pic:spPr>
                </pic:pic>
              </a:graphicData>
            </a:graphic>
          </wp:inline>
        </w:drawing>
      </w:r>
    </w:p>
    <w:p w:rsidR="005063C9" w:rsidRPr="00822389" w:rsidRDefault="005063C9" w:rsidP="005063C9">
      <w:pPr>
        <w:spacing w:before="2000"/>
        <w:ind w:right="450"/>
        <w:jc w:val="left"/>
        <w:rPr>
          <w:rFonts w:asciiTheme="minorHAnsi" w:hAnsiTheme="minorHAnsi"/>
          <w:b/>
          <w:i/>
          <w:sz w:val="56"/>
        </w:rPr>
      </w:pPr>
      <w:r>
        <w:rPr>
          <w:rFonts w:asciiTheme="minorHAnsi" w:hAnsiTheme="minorHAnsi"/>
          <w:b/>
          <w:i/>
          <w:sz w:val="56"/>
        </w:rPr>
        <w:t>Mesures de recherche annuelle sur l’opinion publique de 2020</w:t>
      </w:r>
    </w:p>
    <w:p w:rsidR="005063C9" w:rsidRPr="00555ED4" w:rsidRDefault="005063C9" w:rsidP="005063C9">
      <w:pPr>
        <w:spacing w:before="1000"/>
        <w:jc w:val="left"/>
        <w:rPr>
          <w:rFonts w:asciiTheme="minorHAnsi" w:hAnsiTheme="minorHAnsi"/>
          <w:b/>
          <w:sz w:val="36"/>
        </w:rPr>
      </w:pPr>
      <w:r>
        <w:rPr>
          <w:rFonts w:asciiTheme="minorHAnsi" w:hAnsiTheme="minorHAnsi"/>
          <w:b/>
          <w:sz w:val="36"/>
        </w:rPr>
        <w:t>Rapport final</w:t>
      </w:r>
    </w:p>
    <w:p w:rsidR="005063C9" w:rsidRPr="00555ED4" w:rsidRDefault="005063C9" w:rsidP="005063C9">
      <w:pPr>
        <w:spacing w:before="1000"/>
        <w:jc w:val="left"/>
        <w:rPr>
          <w:rFonts w:asciiTheme="minorHAnsi" w:hAnsiTheme="minorHAnsi"/>
          <w:b/>
          <w:sz w:val="32"/>
        </w:rPr>
      </w:pPr>
      <w:r>
        <w:rPr>
          <w:rFonts w:asciiTheme="minorHAnsi" w:hAnsiTheme="minorHAnsi"/>
          <w:b/>
          <w:sz w:val="32"/>
        </w:rPr>
        <w:t>Produit pour la Régie de l’énergie du Canada</w:t>
      </w:r>
    </w:p>
    <w:p w:rsidR="005063C9" w:rsidRPr="00555ED4" w:rsidRDefault="005063C9" w:rsidP="005063C9">
      <w:pPr>
        <w:spacing w:before="500"/>
        <w:jc w:val="left"/>
        <w:rPr>
          <w:rFonts w:asciiTheme="minorHAnsi" w:hAnsiTheme="minorHAnsi"/>
          <w:color w:val="000000" w:themeColor="text1"/>
          <w:szCs w:val="26"/>
        </w:rPr>
      </w:pPr>
      <w:r>
        <w:rPr>
          <w:rFonts w:asciiTheme="minorHAnsi" w:hAnsiTheme="minorHAnsi"/>
          <w:color w:val="000000" w:themeColor="text1"/>
          <w:szCs w:val="26"/>
        </w:rPr>
        <w:t>Nom du fournisseur : Environics Research</w:t>
      </w:r>
    </w:p>
    <w:p w:rsidR="005063C9" w:rsidRPr="00555ED4" w:rsidRDefault="005063C9" w:rsidP="005063C9">
      <w:pPr>
        <w:jc w:val="left"/>
        <w:rPr>
          <w:rFonts w:asciiTheme="minorHAnsi" w:hAnsiTheme="minorHAnsi"/>
          <w:color w:val="000000" w:themeColor="text1"/>
          <w:szCs w:val="26"/>
        </w:rPr>
      </w:pPr>
      <w:r>
        <w:rPr>
          <w:rFonts w:asciiTheme="minorHAnsi" w:hAnsiTheme="minorHAnsi"/>
          <w:color w:val="000000" w:themeColor="text1"/>
          <w:szCs w:val="26"/>
        </w:rPr>
        <w:t xml:space="preserve">Numéro du contrat : </w:t>
      </w:r>
      <w:r>
        <w:rPr>
          <w:rFonts w:asciiTheme="minorHAnsi" w:hAnsiTheme="minorHAnsi"/>
          <w:sz w:val="24"/>
          <w:szCs w:val="24"/>
        </w:rPr>
        <w:t>84084-190180/001/CY</w:t>
      </w:r>
    </w:p>
    <w:p w:rsidR="005063C9" w:rsidRPr="00555ED4" w:rsidRDefault="005063C9" w:rsidP="005063C9">
      <w:pPr>
        <w:jc w:val="left"/>
        <w:rPr>
          <w:rFonts w:asciiTheme="minorHAnsi" w:hAnsiTheme="minorHAnsi"/>
          <w:color w:val="000000" w:themeColor="text1"/>
          <w:szCs w:val="26"/>
        </w:rPr>
      </w:pPr>
      <w:r>
        <w:rPr>
          <w:rFonts w:asciiTheme="minorHAnsi" w:hAnsiTheme="minorHAnsi"/>
          <w:color w:val="000000" w:themeColor="text1"/>
          <w:szCs w:val="26"/>
        </w:rPr>
        <w:t xml:space="preserve">Valeur du contrat : </w:t>
      </w:r>
      <w:r>
        <w:rPr>
          <w:rFonts w:asciiTheme="minorHAnsi" w:hAnsiTheme="minorHAnsi"/>
          <w:szCs w:val="26"/>
        </w:rPr>
        <w:t>59 931,81 $</w:t>
      </w:r>
      <w:r>
        <w:rPr>
          <w:rFonts w:asciiTheme="minorHAnsi" w:hAnsiTheme="minorHAnsi"/>
          <w:color w:val="000000" w:themeColor="text1"/>
          <w:szCs w:val="26"/>
        </w:rPr>
        <w:t xml:space="preserve"> (TVH incluse)</w:t>
      </w:r>
    </w:p>
    <w:p w:rsidR="005063C9" w:rsidRPr="00555ED4" w:rsidRDefault="005063C9" w:rsidP="005063C9">
      <w:pPr>
        <w:jc w:val="left"/>
        <w:rPr>
          <w:rFonts w:asciiTheme="minorHAnsi" w:hAnsiTheme="minorHAnsi"/>
          <w:color w:val="000000" w:themeColor="text1"/>
          <w:szCs w:val="26"/>
        </w:rPr>
      </w:pPr>
      <w:r>
        <w:rPr>
          <w:rFonts w:asciiTheme="minorHAnsi" w:hAnsiTheme="minorHAnsi"/>
          <w:color w:val="000000" w:themeColor="text1"/>
          <w:szCs w:val="26"/>
        </w:rPr>
        <w:t xml:space="preserve">Date d’attribution : </w:t>
      </w:r>
      <w:r>
        <w:rPr>
          <w:rFonts w:asciiTheme="minorHAnsi" w:hAnsiTheme="minorHAnsi"/>
          <w:szCs w:val="26"/>
        </w:rPr>
        <w:t>2020-01-07</w:t>
      </w:r>
    </w:p>
    <w:p w:rsidR="005063C9" w:rsidRPr="00555ED4" w:rsidRDefault="005063C9" w:rsidP="005063C9">
      <w:pPr>
        <w:jc w:val="left"/>
        <w:rPr>
          <w:rFonts w:asciiTheme="minorHAnsi" w:hAnsiTheme="minorHAnsi"/>
          <w:color w:val="000000" w:themeColor="text1"/>
          <w:szCs w:val="26"/>
        </w:rPr>
      </w:pPr>
      <w:r>
        <w:rPr>
          <w:rFonts w:asciiTheme="minorHAnsi" w:hAnsiTheme="minorHAnsi"/>
          <w:color w:val="000000" w:themeColor="text1"/>
          <w:szCs w:val="26"/>
        </w:rPr>
        <w:t xml:space="preserve">Date de livraison : </w:t>
      </w:r>
      <w:r>
        <w:rPr>
          <w:rFonts w:asciiTheme="minorHAnsi" w:hAnsiTheme="minorHAnsi"/>
          <w:szCs w:val="26"/>
        </w:rPr>
        <w:t>2020-02-28</w:t>
      </w:r>
    </w:p>
    <w:p w:rsidR="005063C9" w:rsidRPr="003D045E" w:rsidRDefault="005063C9" w:rsidP="005063C9">
      <w:pPr>
        <w:spacing w:before="500"/>
        <w:jc w:val="left"/>
        <w:rPr>
          <w:rFonts w:asciiTheme="minorHAnsi" w:hAnsiTheme="minorHAnsi"/>
          <w:color w:val="000000" w:themeColor="text1"/>
          <w:sz w:val="24"/>
          <w:szCs w:val="18"/>
        </w:rPr>
      </w:pPr>
      <w:r>
        <w:rPr>
          <w:rFonts w:asciiTheme="minorHAnsi" w:hAnsiTheme="minorHAnsi"/>
          <w:color w:val="000000" w:themeColor="text1"/>
          <w:sz w:val="24"/>
          <w:szCs w:val="18"/>
        </w:rPr>
        <w:t>Numéro d’enregistrement : POR 060-19</w:t>
      </w:r>
    </w:p>
    <w:p w:rsidR="005063C9" w:rsidRPr="00555ED4" w:rsidRDefault="005063C9" w:rsidP="005063C9">
      <w:pPr>
        <w:spacing w:before="360"/>
        <w:jc w:val="left"/>
        <w:rPr>
          <w:rFonts w:asciiTheme="minorHAnsi" w:hAnsiTheme="minorHAnsi"/>
          <w:sz w:val="20"/>
        </w:rPr>
      </w:pPr>
      <w:r>
        <w:rPr>
          <w:rFonts w:asciiTheme="minorHAnsi" w:hAnsiTheme="minorHAnsi"/>
          <w:sz w:val="20"/>
        </w:rPr>
        <w:t>Pour plus d’information sur le présent rapport, prière de communiquer avec la Régie de l’énergie du Canada :</w:t>
      </w:r>
      <w:r>
        <w:rPr>
          <w:rStyle w:val="Hyperlink"/>
          <w:rFonts w:asciiTheme="minorHAnsi" w:hAnsiTheme="minorHAnsi"/>
          <w:sz w:val="20"/>
        </w:rPr>
        <w:br/>
      </w:r>
      <w:r w:rsidRPr="00126F6C">
        <w:rPr>
          <w:rStyle w:val="Hyperlink"/>
          <w:rFonts w:asciiTheme="minorHAnsi" w:hAnsiTheme="minorHAnsi"/>
          <w:sz w:val="20"/>
        </w:rPr>
        <w:t>Tom.Neufeld@cer-rec.gc.ca</w:t>
      </w:r>
    </w:p>
    <w:p w:rsidR="005063C9" w:rsidRPr="00BB2F57" w:rsidRDefault="005063C9" w:rsidP="005063C9">
      <w:pPr>
        <w:spacing w:before="1200"/>
        <w:rPr>
          <w:rFonts w:asciiTheme="minorHAnsi" w:hAnsiTheme="minorHAnsi"/>
          <w:b/>
          <w:lang w:val="en-US"/>
        </w:rPr>
      </w:pPr>
      <w:r w:rsidRPr="00BB2F57">
        <w:rPr>
          <w:rFonts w:asciiTheme="minorHAnsi" w:hAnsiTheme="minorHAnsi"/>
          <w:b/>
          <w:lang w:val="en-US"/>
        </w:rPr>
        <w:t>This report is also available in English.</w:t>
      </w:r>
    </w:p>
    <w:p w:rsidR="005063C9" w:rsidRDefault="005063C9" w:rsidP="005063C9">
      <w:pPr>
        <w:spacing w:before="1200"/>
        <w:jc w:val="right"/>
        <w:rPr>
          <w:rStyle w:val="Hyperlink"/>
          <w:rFonts w:asciiTheme="minorHAnsi" w:hAnsiTheme="minorHAnsi" w:cs="Arial"/>
          <w:sz w:val="20"/>
          <w:highlight w:val="yellow"/>
        </w:rPr>
      </w:pPr>
      <w:r>
        <w:rPr>
          <w:noProof/>
          <w:lang w:val="en-CA" w:eastAsia="en-CA"/>
        </w:rPr>
        <w:drawing>
          <wp:inline distT="0" distB="0" distL="0" distR="0" wp14:anchorId="6575015E" wp14:editId="54C269E9">
            <wp:extent cx="1158240" cy="304800"/>
            <wp:effectExtent l="0" t="0" r="3810" b="0"/>
            <wp:docPr id="11" name="Picture 11"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r>
        <w:br w:type="page"/>
      </w:r>
    </w:p>
    <w:p w:rsidR="005063C9" w:rsidRPr="00BD6CA4" w:rsidRDefault="005063C9" w:rsidP="005063C9">
      <w:pPr>
        <w:pStyle w:val="Para"/>
        <w:rPr>
          <w:b/>
        </w:rPr>
      </w:pPr>
      <w:r>
        <w:rPr>
          <w:b/>
        </w:rPr>
        <w:lastRenderedPageBreak/>
        <w:t>Régie de l’énergie du Canada – Mesures de recherche annuelle sur l’opinion publique de 2020</w:t>
      </w:r>
      <w:r>
        <w:rPr>
          <w:b/>
        </w:rPr>
        <w:br/>
        <w:t>Rapport final</w:t>
      </w:r>
    </w:p>
    <w:p w:rsidR="005063C9" w:rsidRDefault="005063C9" w:rsidP="005063C9">
      <w:pPr>
        <w:pStyle w:val="Para"/>
      </w:pPr>
      <w:r>
        <w:t>Produit pour la Régie de l’énergie du Canada par Environics Research</w:t>
      </w:r>
    </w:p>
    <w:p w:rsidR="005063C9" w:rsidRPr="00F0210C" w:rsidRDefault="005063C9" w:rsidP="005063C9">
      <w:pPr>
        <w:pStyle w:val="Para"/>
      </w:pPr>
      <w:r>
        <w:t>Mars 2020</w:t>
      </w:r>
    </w:p>
    <w:p w:rsidR="005063C9" w:rsidRPr="00F0210C" w:rsidRDefault="005063C9" w:rsidP="005063C9">
      <w:pPr>
        <w:pStyle w:val="Para"/>
        <w:rPr>
          <w:b/>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Pr>
          <w:b/>
        </w:rPr>
        <w:t>Autorisation de reproduction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063C9" w:rsidRPr="001333F6" w:rsidRDefault="005063C9" w:rsidP="005063C9">
      <w:pPr>
        <w:pStyle w:val="Para"/>
      </w:pPr>
      <w:r>
        <w:t>Le présent rapport de recherche sur l’opinion publique renferme les résultats de la recherche quantitative menée par Environics au nom de la Régie de l’énergie du Canada. La recherche a été effectuée en ligne et par téléphone auprès de la population générale, du 4 au 18 février 2020.</w:t>
      </w:r>
    </w:p>
    <w:p w:rsidR="005063C9" w:rsidRPr="003959CE" w:rsidRDefault="005063C9" w:rsidP="005063C9">
      <w:pPr>
        <w:pStyle w:val="Para"/>
      </w:pPr>
      <w:r>
        <w:t xml:space="preserve">La présente publication peut être reproduite à des fins non commerciales seulement. La permission écrite de la Régie de l’énergie du Canada doit être obtenue au préalable. Pour plus d’information sur le présent rapport, prière de communiquer avec la Régie de l’énergie du </w:t>
      </w:r>
      <w:r w:rsidRPr="00126F6C">
        <w:t xml:space="preserve">Canada : </w:t>
      </w:r>
      <w:r w:rsidRPr="00126F6C">
        <w:rPr>
          <w:rStyle w:val="Hyperlink"/>
        </w:rPr>
        <w:t>Tom.Neufeld@cer-rec.gc.ca</w:t>
      </w:r>
    </w:p>
    <w:p w:rsidR="005063C9" w:rsidRPr="00F0210C" w:rsidRDefault="005063C9" w:rsidP="005063C9">
      <w:pPr>
        <w:pStyle w:val="Para"/>
      </w:pPr>
      <w:r>
        <w:t>© Sa Majesté la Reine du chef du Canada, représentée par le ministre de Services publics et Approvisionnement Canada, 2020</w:t>
      </w:r>
    </w:p>
    <w:p w:rsidR="005063C9" w:rsidRDefault="005063C9" w:rsidP="005063C9">
      <w:pPr>
        <w:pStyle w:val="Para"/>
        <w:rPr>
          <w:sz w:val="24"/>
          <w:lang w:val="en-US"/>
        </w:rPr>
      </w:pPr>
      <w:bookmarkStart w:id="25" w:name="_Toc513713297"/>
      <w:bookmarkStart w:id="26" w:name="_Toc513727539"/>
      <w:bookmarkStart w:id="27" w:name="_Toc513729504"/>
      <w:bookmarkStart w:id="28" w:name="_Toc513729884"/>
      <w:bookmarkStart w:id="29" w:name="_Toc514756051"/>
      <w:bookmarkStart w:id="30" w:name="_Toc514834228"/>
      <w:bookmarkStart w:id="31" w:name="_Toc514843859"/>
      <w:bookmarkStart w:id="32" w:name="_Toc514849914"/>
      <w:bookmarkStart w:id="33" w:name="_Toc514853150"/>
      <w:bookmarkStart w:id="34" w:name="_Toc514853408"/>
      <w:bookmarkStart w:id="35" w:name="_Toc514853489"/>
      <w:bookmarkStart w:id="36" w:name="_Toc514858021"/>
      <w:bookmarkStart w:id="37" w:name="_Toc514858558"/>
      <w:bookmarkStart w:id="38" w:name="_Toc515228593"/>
      <w:bookmarkStart w:id="39" w:name="_Toc516179251"/>
      <w:bookmarkStart w:id="40" w:name="_Toc516225941"/>
      <w:bookmarkStart w:id="41" w:name="_Toc517092464"/>
      <w:bookmarkStart w:id="42" w:name="_Toc517094459"/>
      <w:bookmarkStart w:id="43" w:name="_Toc517096588"/>
      <w:bookmarkStart w:id="44" w:name="_Toc517167507"/>
      <w:bookmarkStart w:id="45" w:name="_Toc517167797"/>
      <w:bookmarkStart w:id="46" w:name="_Toc517167850"/>
      <w:bookmarkStart w:id="47" w:name="_Toc518894621"/>
      <w:bookmarkStart w:id="48" w:name="_Toc536603554"/>
      <w:r>
        <w:rPr>
          <w:lang w:val="en-US"/>
        </w:rPr>
        <w:t>N</w:t>
      </w:r>
      <w:r>
        <w:rPr>
          <w:vertAlign w:val="superscript"/>
          <w:lang w:val="en-US"/>
        </w:rPr>
        <w:t>o</w:t>
      </w:r>
      <w:r>
        <w:rPr>
          <w:lang w:val="en-US"/>
        </w:rPr>
        <w:t xml:space="preserve"> </w:t>
      </w:r>
      <w:bookmarkStart w:id="49" w:name="_Toc513713175"/>
      <w:r>
        <w:rPr>
          <w:lang w:val="en-US"/>
        </w:rPr>
        <w:t>de cat.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lang w:val="en-US"/>
        </w:rPr>
        <w:t xml:space="preserve"> NE23-208/2020F-PDF</w:t>
      </w:r>
    </w:p>
    <w:p w:rsidR="005063C9" w:rsidRDefault="005063C9" w:rsidP="005063C9">
      <w:pPr>
        <w:pStyle w:val="Para"/>
        <w:rPr>
          <w:sz w:val="24"/>
          <w:lang w:val="en-US"/>
        </w:rPr>
      </w:pPr>
      <w:r>
        <w:rPr>
          <w:lang w:val="en-US"/>
        </w:rPr>
        <w:t>ISBN : 978-0-660-34443-0</w:t>
      </w:r>
    </w:p>
    <w:p w:rsidR="005063C9" w:rsidRDefault="005063C9" w:rsidP="005063C9">
      <w:pPr>
        <w:jc w:val="left"/>
        <w:rPr>
          <w:rFonts w:ascii="Calibri" w:hAnsi="Calibri" w:cs="Calibri"/>
          <w:bCs/>
          <w:sz w:val="22"/>
          <w:szCs w:val="22"/>
        </w:rPr>
      </w:pPr>
      <w:r>
        <w:rPr>
          <w:rFonts w:ascii="Calibri" w:hAnsi="Calibri" w:cs="Calibri"/>
          <w:bCs/>
          <w:sz w:val="22"/>
          <w:szCs w:val="22"/>
        </w:rPr>
        <w:t xml:space="preserve">This publication is also available in English under the </w:t>
      </w:r>
      <w:r>
        <w:rPr>
          <w:rFonts w:ascii="Calibri" w:hAnsi="Calibri" w:cs="Calibri"/>
          <w:bCs/>
          <w:i/>
          <w:iCs/>
          <w:sz w:val="22"/>
          <w:szCs w:val="22"/>
        </w:rPr>
        <w:t xml:space="preserve">title : </w:t>
      </w:r>
      <w:bookmarkStart w:id="50" w:name="_MailEndCompose"/>
      <w:r>
        <w:rPr>
          <w:rFonts w:ascii="Calibri" w:hAnsi="Calibri" w:cs="Calibri"/>
          <w:bCs/>
          <w:i/>
          <w:iCs/>
          <w:sz w:val="22"/>
          <w:szCs w:val="22"/>
        </w:rPr>
        <w:t>Canada Energy Regulator Annual Public Opinion Research Measures 2020</w:t>
      </w:r>
      <w:bookmarkEnd w:id="50"/>
    </w:p>
    <w:p w:rsidR="005063C9" w:rsidRDefault="005063C9" w:rsidP="005063C9">
      <w:pPr>
        <w:pStyle w:val="Para"/>
        <w:rPr>
          <w:sz w:val="24"/>
        </w:rPr>
      </w:pPr>
      <w:r>
        <w:t>Numéro de catalogue : NE23-208/2020E-PDF (rapport final en anglais)</w:t>
      </w:r>
    </w:p>
    <w:p w:rsidR="005063C9" w:rsidRDefault="005063C9" w:rsidP="005063C9">
      <w:pPr>
        <w:pStyle w:val="Para"/>
      </w:pPr>
      <w:r>
        <w:rPr>
          <w:lang w:val="en-US"/>
        </w:rPr>
        <w:t xml:space="preserve">International Standard Book Number (ISBN) : </w:t>
      </w:r>
      <w:r>
        <w:t>978-0-660-34441-6</w:t>
      </w:r>
    </w:p>
    <w:p w:rsidR="005063C9" w:rsidRPr="00D7690A" w:rsidRDefault="005063C9" w:rsidP="005063C9">
      <w:pPr>
        <w:rPr>
          <w:rFonts w:ascii="Calibri" w:hAnsi="Calibri" w:cs="Calibri"/>
          <w:lang w:val="en-US"/>
        </w:rPr>
        <w:sectPr w:rsidR="005063C9" w:rsidRPr="00D7690A" w:rsidSect="005063C9">
          <w:headerReference w:type="even" r:id="rId9"/>
          <w:footerReference w:type="even" r:id="rId10"/>
          <w:footerReference w:type="default" r:id="rId11"/>
          <w:pgSz w:w="12240" w:h="15840" w:code="1"/>
          <w:pgMar w:top="1151" w:right="1170" w:bottom="431" w:left="990" w:header="709" w:footer="431" w:gutter="0"/>
          <w:pgNumType w:start="1"/>
          <w:cols w:space="720"/>
          <w:titlePg/>
          <w:docGrid w:linePitch="299"/>
        </w:sectPr>
      </w:pPr>
    </w:p>
    <w:p w:rsidR="005063C9" w:rsidRPr="00BA3349" w:rsidRDefault="005063C9" w:rsidP="005063C9">
      <w:pPr>
        <w:pStyle w:val="Para"/>
        <w:spacing w:before="240" w:after="160"/>
        <w:rPr>
          <w:b/>
          <w:color w:val="7030A0"/>
          <w:sz w:val="36"/>
          <w:szCs w:val="36"/>
        </w:rPr>
      </w:pPr>
      <w:r>
        <w:rPr>
          <w:b/>
          <w:color w:val="7030A0"/>
          <w:sz w:val="36"/>
          <w:szCs w:val="36"/>
        </w:rPr>
        <w:lastRenderedPageBreak/>
        <w:t>Table des matières</w:t>
      </w:r>
    </w:p>
    <w:p w:rsidR="005063C9" w:rsidRDefault="005063C9" w:rsidP="005063C9">
      <w:pPr>
        <w:pStyle w:val="TOC1"/>
        <w:rPr>
          <w:rFonts w:asciiTheme="minorHAnsi" w:eastAsiaTheme="minorEastAsia" w:hAnsiTheme="minorHAnsi" w:cstheme="minorBidi"/>
          <w:b w:val="0"/>
          <w:bCs w:val="0"/>
          <w:lang w:eastAsia="fr-CA"/>
        </w:rPr>
      </w:pPr>
      <w:r>
        <w:fldChar w:fldCharType="begin"/>
      </w:r>
      <w:r>
        <w:instrText xml:space="preserve"> TOC \o "1-3" \h \z \u </w:instrText>
      </w:r>
      <w:r>
        <w:fldChar w:fldCharType="separate"/>
      </w:r>
      <w:hyperlink w:anchor="_Toc36207776" w:history="1">
        <w:r w:rsidRPr="00C365C5">
          <w:rPr>
            <w:rStyle w:val="Hyperlink"/>
          </w:rPr>
          <w:t>Résumé</w:t>
        </w:r>
        <w:r>
          <w:rPr>
            <w:webHidden/>
          </w:rPr>
          <w:tab/>
        </w:r>
        <w:r>
          <w:rPr>
            <w:webHidden/>
          </w:rPr>
          <w:fldChar w:fldCharType="begin"/>
        </w:r>
        <w:r>
          <w:rPr>
            <w:webHidden/>
          </w:rPr>
          <w:instrText xml:space="preserve"> PAGEREF _Toc36207776 \h </w:instrText>
        </w:r>
        <w:r>
          <w:rPr>
            <w:webHidden/>
          </w:rPr>
        </w:r>
        <w:r>
          <w:rPr>
            <w:webHidden/>
          </w:rPr>
          <w:fldChar w:fldCharType="separate"/>
        </w:r>
        <w:r>
          <w:rPr>
            <w:webHidden/>
          </w:rPr>
          <w:t>i</w:t>
        </w:r>
        <w:r>
          <w:rPr>
            <w:webHidden/>
          </w:rPr>
          <w:fldChar w:fldCharType="end"/>
        </w:r>
      </w:hyperlink>
    </w:p>
    <w:p w:rsidR="005063C9" w:rsidRDefault="00D963D0" w:rsidP="005063C9">
      <w:pPr>
        <w:pStyle w:val="TOC1"/>
        <w:rPr>
          <w:rFonts w:asciiTheme="minorHAnsi" w:eastAsiaTheme="minorEastAsia" w:hAnsiTheme="minorHAnsi" w:cstheme="minorBidi"/>
          <w:b w:val="0"/>
          <w:bCs w:val="0"/>
          <w:lang w:eastAsia="fr-CA"/>
        </w:rPr>
      </w:pPr>
      <w:hyperlink w:anchor="_Toc36207777" w:history="1">
        <w:r w:rsidR="005063C9" w:rsidRPr="00C365C5">
          <w:rPr>
            <w:rStyle w:val="Hyperlink"/>
          </w:rPr>
          <w:t>Introduction</w:t>
        </w:r>
        <w:r w:rsidR="005063C9">
          <w:rPr>
            <w:webHidden/>
          </w:rPr>
          <w:tab/>
        </w:r>
        <w:r w:rsidR="005063C9">
          <w:rPr>
            <w:webHidden/>
          </w:rPr>
          <w:fldChar w:fldCharType="begin"/>
        </w:r>
        <w:r w:rsidR="005063C9">
          <w:rPr>
            <w:webHidden/>
          </w:rPr>
          <w:instrText xml:space="preserve"> PAGEREF _Toc36207777 \h </w:instrText>
        </w:r>
        <w:r w:rsidR="005063C9">
          <w:rPr>
            <w:webHidden/>
          </w:rPr>
        </w:r>
        <w:r w:rsidR="005063C9">
          <w:rPr>
            <w:webHidden/>
          </w:rPr>
          <w:fldChar w:fldCharType="separate"/>
        </w:r>
        <w:r w:rsidR="005063C9">
          <w:rPr>
            <w:webHidden/>
          </w:rPr>
          <w:t>1</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78" w:history="1">
        <w:r w:rsidR="005063C9" w:rsidRPr="00C365C5">
          <w:rPr>
            <w:rStyle w:val="Hyperlink"/>
          </w:rPr>
          <w:t>1.</w:t>
        </w:r>
        <w:r w:rsidR="005063C9">
          <w:rPr>
            <w:rFonts w:asciiTheme="minorHAnsi" w:eastAsiaTheme="minorEastAsia" w:hAnsiTheme="minorHAnsi" w:cstheme="minorBidi"/>
            <w:iCs w:val="0"/>
            <w:sz w:val="22"/>
            <w:szCs w:val="22"/>
            <w:lang w:eastAsia="fr-CA"/>
          </w:rPr>
          <w:tab/>
        </w:r>
        <w:r w:rsidR="005063C9" w:rsidRPr="00C365C5">
          <w:rPr>
            <w:rStyle w:val="Hyperlink"/>
          </w:rPr>
          <w:t>Contexte</w:t>
        </w:r>
        <w:r w:rsidR="005063C9">
          <w:rPr>
            <w:webHidden/>
          </w:rPr>
          <w:tab/>
        </w:r>
        <w:r w:rsidR="005063C9">
          <w:rPr>
            <w:webHidden/>
          </w:rPr>
          <w:fldChar w:fldCharType="begin"/>
        </w:r>
        <w:r w:rsidR="005063C9">
          <w:rPr>
            <w:webHidden/>
          </w:rPr>
          <w:instrText xml:space="preserve"> PAGEREF _Toc36207778 \h </w:instrText>
        </w:r>
        <w:r w:rsidR="005063C9">
          <w:rPr>
            <w:webHidden/>
          </w:rPr>
        </w:r>
        <w:r w:rsidR="005063C9">
          <w:rPr>
            <w:webHidden/>
          </w:rPr>
          <w:fldChar w:fldCharType="separate"/>
        </w:r>
        <w:r w:rsidR="005063C9">
          <w:rPr>
            <w:webHidden/>
          </w:rPr>
          <w:t>1</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79" w:history="1">
        <w:r w:rsidR="005063C9" w:rsidRPr="00C365C5">
          <w:rPr>
            <w:rStyle w:val="Hyperlink"/>
          </w:rPr>
          <w:t>2.</w:t>
        </w:r>
        <w:r w:rsidR="005063C9">
          <w:rPr>
            <w:rFonts w:asciiTheme="minorHAnsi" w:eastAsiaTheme="minorEastAsia" w:hAnsiTheme="minorHAnsi" w:cstheme="minorBidi"/>
            <w:iCs w:val="0"/>
            <w:sz w:val="22"/>
            <w:szCs w:val="22"/>
            <w:lang w:eastAsia="fr-CA"/>
          </w:rPr>
          <w:tab/>
        </w:r>
        <w:r w:rsidR="005063C9" w:rsidRPr="00C365C5">
          <w:rPr>
            <w:rStyle w:val="Hyperlink"/>
          </w:rPr>
          <w:t>Raison d’être et objectifs de la recherche</w:t>
        </w:r>
        <w:r w:rsidR="005063C9">
          <w:rPr>
            <w:webHidden/>
          </w:rPr>
          <w:tab/>
        </w:r>
        <w:r w:rsidR="005063C9">
          <w:rPr>
            <w:webHidden/>
          </w:rPr>
          <w:fldChar w:fldCharType="begin"/>
        </w:r>
        <w:r w:rsidR="005063C9">
          <w:rPr>
            <w:webHidden/>
          </w:rPr>
          <w:instrText xml:space="preserve"> PAGEREF _Toc36207779 \h </w:instrText>
        </w:r>
        <w:r w:rsidR="005063C9">
          <w:rPr>
            <w:webHidden/>
          </w:rPr>
        </w:r>
        <w:r w:rsidR="005063C9">
          <w:rPr>
            <w:webHidden/>
          </w:rPr>
          <w:fldChar w:fldCharType="separate"/>
        </w:r>
        <w:r w:rsidR="005063C9">
          <w:rPr>
            <w:webHidden/>
          </w:rPr>
          <w:t>1</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80" w:history="1">
        <w:r w:rsidR="005063C9" w:rsidRPr="00C365C5">
          <w:rPr>
            <w:rStyle w:val="Hyperlink"/>
          </w:rPr>
          <w:t>3.</w:t>
        </w:r>
        <w:r w:rsidR="005063C9">
          <w:rPr>
            <w:rFonts w:asciiTheme="minorHAnsi" w:eastAsiaTheme="minorEastAsia" w:hAnsiTheme="minorHAnsi" w:cstheme="minorBidi"/>
            <w:iCs w:val="0"/>
            <w:sz w:val="22"/>
            <w:szCs w:val="22"/>
            <w:lang w:eastAsia="fr-CA"/>
          </w:rPr>
          <w:tab/>
        </w:r>
        <w:r w:rsidR="005063C9" w:rsidRPr="00C365C5">
          <w:rPr>
            <w:rStyle w:val="Hyperlink"/>
          </w:rPr>
          <w:t>Rapport</w:t>
        </w:r>
        <w:r w:rsidR="005063C9">
          <w:rPr>
            <w:webHidden/>
          </w:rPr>
          <w:tab/>
        </w:r>
        <w:r w:rsidR="005063C9">
          <w:rPr>
            <w:webHidden/>
          </w:rPr>
          <w:fldChar w:fldCharType="begin"/>
        </w:r>
        <w:r w:rsidR="005063C9">
          <w:rPr>
            <w:webHidden/>
          </w:rPr>
          <w:instrText xml:space="preserve"> PAGEREF _Toc36207780 \h </w:instrText>
        </w:r>
        <w:r w:rsidR="005063C9">
          <w:rPr>
            <w:webHidden/>
          </w:rPr>
        </w:r>
        <w:r w:rsidR="005063C9">
          <w:rPr>
            <w:webHidden/>
          </w:rPr>
          <w:fldChar w:fldCharType="separate"/>
        </w:r>
        <w:r w:rsidR="005063C9">
          <w:rPr>
            <w:webHidden/>
          </w:rPr>
          <w:t>1</w:t>
        </w:r>
        <w:r w:rsidR="005063C9">
          <w:rPr>
            <w:webHidden/>
          </w:rPr>
          <w:fldChar w:fldCharType="end"/>
        </w:r>
      </w:hyperlink>
    </w:p>
    <w:p w:rsidR="005063C9" w:rsidRDefault="00D963D0" w:rsidP="005063C9">
      <w:pPr>
        <w:pStyle w:val="TOC1"/>
        <w:rPr>
          <w:rFonts w:asciiTheme="minorHAnsi" w:eastAsiaTheme="minorEastAsia" w:hAnsiTheme="minorHAnsi" w:cstheme="minorBidi"/>
          <w:b w:val="0"/>
          <w:bCs w:val="0"/>
          <w:lang w:eastAsia="fr-CA"/>
        </w:rPr>
      </w:pPr>
      <w:hyperlink w:anchor="_Toc36207781" w:history="1">
        <w:r w:rsidR="005063C9" w:rsidRPr="00C365C5">
          <w:rPr>
            <w:rStyle w:val="Hyperlink"/>
          </w:rPr>
          <w:t>Conclusions détaillées</w:t>
        </w:r>
        <w:r w:rsidR="005063C9">
          <w:rPr>
            <w:webHidden/>
          </w:rPr>
          <w:tab/>
        </w:r>
        <w:r w:rsidR="005063C9">
          <w:rPr>
            <w:webHidden/>
          </w:rPr>
          <w:fldChar w:fldCharType="begin"/>
        </w:r>
        <w:r w:rsidR="005063C9">
          <w:rPr>
            <w:webHidden/>
          </w:rPr>
          <w:instrText xml:space="preserve"> PAGEREF _Toc36207781 \h </w:instrText>
        </w:r>
        <w:r w:rsidR="005063C9">
          <w:rPr>
            <w:webHidden/>
          </w:rPr>
        </w:r>
        <w:r w:rsidR="005063C9">
          <w:rPr>
            <w:webHidden/>
          </w:rPr>
          <w:fldChar w:fldCharType="separate"/>
        </w:r>
        <w:r w:rsidR="005063C9">
          <w:rPr>
            <w:webHidden/>
          </w:rPr>
          <w:t>2</w:t>
        </w:r>
        <w:r w:rsidR="005063C9">
          <w:rPr>
            <w:webHidden/>
          </w:rPr>
          <w:fldChar w:fldCharType="end"/>
        </w:r>
      </w:hyperlink>
    </w:p>
    <w:p w:rsidR="005063C9" w:rsidRDefault="00D963D0" w:rsidP="005063C9">
      <w:pPr>
        <w:pStyle w:val="TOC2"/>
        <w:rPr>
          <w:rFonts w:asciiTheme="minorHAnsi" w:eastAsiaTheme="minorEastAsia" w:hAnsiTheme="minorHAnsi" w:cstheme="minorBidi"/>
          <w:sz w:val="22"/>
          <w:szCs w:val="22"/>
          <w:lang w:eastAsia="fr-CA"/>
        </w:rPr>
      </w:pPr>
      <w:hyperlink w:anchor="_Toc36207782" w:history="1">
        <w:r w:rsidR="005063C9" w:rsidRPr="00C365C5">
          <w:rPr>
            <w:rStyle w:val="Hyperlink"/>
          </w:rPr>
          <w:t>I.</w:t>
        </w:r>
        <w:r w:rsidR="005063C9">
          <w:rPr>
            <w:rFonts w:asciiTheme="minorHAnsi" w:eastAsiaTheme="minorEastAsia" w:hAnsiTheme="minorHAnsi" w:cstheme="minorBidi"/>
            <w:sz w:val="22"/>
            <w:szCs w:val="22"/>
            <w:lang w:eastAsia="fr-CA"/>
          </w:rPr>
          <w:tab/>
        </w:r>
        <w:r w:rsidR="005063C9" w:rsidRPr="00C365C5">
          <w:rPr>
            <w:rStyle w:val="Hyperlink"/>
          </w:rPr>
          <w:t>Connaissances des répondants au sujet de la Régie</w:t>
        </w:r>
        <w:r w:rsidR="005063C9">
          <w:rPr>
            <w:webHidden/>
          </w:rPr>
          <w:tab/>
        </w:r>
        <w:r w:rsidR="005063C9">
          <w:rPr>
            <w:webHidden/>
          </w:rPr>
          <w:fldChar w:fldCharType="begin"/>
        </w:r>
        <w:r w:rsidR="005063C9">
          <w:rPr>
            <w:webHidden/>
          </w:rPr>
          <w:instrText xml:space="preserve"> PAGEREF _Toc36207782 \h </w:instrText>
        </w:r>
        <w:r w:rsidR="005063C9">
          <w:rPr>
            <w:webHidden/>
          </w:rPr>
        </w:r>
        <w:r w:rsidR="005063C9">
          <w:rPr>
            <w:webHidden/>
          </w:rPr>
          <w:fldChar w:fldCharType="separate"/>
        </w:r>
        <w:r w:rsidR="005063C9">
          <w:rPr>
            <w:webHidden/>
          </w:rPr>
          <w:t>2</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83" w:history="1">
        <w:r w:rsidR="005063C9" w:rsidRPr="00C365C5">
          <w:rPr>
            <w:rStyle w:val="Hyperlink"/>
          </w:rPr>
          <w:t>1.</w:t>
        </w:r>
        <w:r w:rsidR="005063C9">
          <w:rPr>
            <w:rFonts w:asciiTheme="minorHAnsi" w:eastAsiaTheme="minorEastAsia" w:hAnsiTheme="minorHAnsi" w:cstheme="minorBidi"/>
            <w:iCs w:val="0"/>
            <w:sz w:val="22"/>
            <w:szCs w:val="22"/>
            <w:lang w:eastAsia="fr-CA"/>
          </w:rPr>
          <w:tab/>
        </w:r>
        <w:r w:rsidR="005063C9" w:rsidRPr="00C365C5">
          <w:rPr>
            <w:rStyle w:val="Hyperlink"/>
          </w:rPr>
          <w:t>Mention spontanée de la Régie</w:t>
        </w:r>
        <w:r w:rsidR="005063C9">
          <w:rPr>
            <w:webHidden/>
          </w:rPr>
          <w:tab/>
        </w:r>
        <w:r w:rsidR="005063C9">
          <w:rPr>
            <w:webHidden/>
          </w:rPr>
          <w:fldChar w:fldCharType="begin"/>
        </w:r>
        <w:r w:rsidR="005063C9">
          <w:rPr>
            <w:webHidden/>
          </w:rPr>
          <w:instrText xml:space="preserve"> PAGEREF _Toc36207783 \h </w:instrText>
        </w:r>
        <w:r w:rsidR="005063C9">
          <w:rPr>
            <w:webHidden/>
          </w:rPr>
        </w:r>
        <w:r w:rsidR="005063C9">
          <w:rPr>
            <w:webHidden/>
          </w:rPr>
          <w:fldChar w:fldCharType="separate"/>
        </w:r>
        <w:r w:rsidR="005063C9">
          <w:rPr>
            <w:webHidden/>
          </w:rPr>
          <w:t>2</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84" w:history="1">
        <w:r w:rsidR="005063C9" w:rsidRPr="00C365C5">
          <w:rPr>
            <w:rStyle w:val="Hyperlink"/>
          </w:rPr>
          <w:t>2.</w:t>
        </w:r>
        <w:r w:rsidR="005063C9">
          <w:rPr>
            <w:rFonts w:asciiTheme="minorHAnsi" w:eastAsiaTheme="minorEastAsia" w:hAnsiTheme="minorHAnsi" w:cstheme="minorBidi"/>
            <w:iCs w:val="0"/>
            <w:sz w:val="22"/>
            <w:szCs w:val="22"/>
            <w:lang w:eastAsia="fr-CA"/>
          </w:rPr>
          <w:tab/>
        </w:r>
        <w:r w:rsidR="005063C9" w:rsidRPr="00C365C5">
          <w:rPr>
            <w:rStyle w:val="Hyperlink"/>
          </w:rPr>
          <w:t>Reconnaissance guidée de la Régie</w:t>
        </w:r>
        <w:r w:rsidR="005063C9">
          <w:rPr>
            <w:webHidden/>
          </w:rPr>
          <w:tab/>
        </w:r>
        <w:r w:rsidR="005063C9">
          <w:rPr>
            <w:webHidden/>
          </w:rPr>
          <w:fldChar w:fldCharType="begin"/>
        </w:r>
        <w:r w:rsidR="005063C9">
          <w:rPr>
            <w:webHidden/>
          </w:rPr>
          <w:instrText xml:space="preserve"> PAGEREF _Toc36207784 \h </w:instrText>
        </w:r>
        <w:r w:rsidR="005063C9">
          <w:rPr>
            <w:webHidden/>
          </w:rPr>
        </w:r>
        <w:r w:rsidR="005063C9">
          <w:rPr>
            <w:webHidden/>
          </w:rPr>
          <w:fldChar w:fldCharType="separate"/>
        </w:r>
        <w:r w:rsidR="005063C9">
          <w:rPr>
            <w:webHidden/>
          </w:rPr>
          <w:t>3</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85" w:history="1">
        <w:r w:rsidR="005063C9" w:rsidRPr="00C365C5">
          <w:rPr>
            <w:rStyle w:val="Hyperlink"/>
          </w:rPr>
          <w:t>3.</w:t>
        </w:r>
        <w:r w:rsidR="005063C9">
          <w:rPr>
            <w:rFonts w:asciiTheme="minorHAnsi" w:eastAsiaTheme="minorEastAsia" w:hAnsiTheme="minorHAnsi" w:cstheme="minorBidi"/>
            <w:iCs w:val="0"/>
            <w:sz w:val="22"/>
            <w:szCs w:val="22"/>
            <w:lang w:eastAsia="fr-CA"/>
          </w:rPr>
          <w:tab/>
        </w:r>
        <w:r w:rsidR="005063C9" w:rsidRPr="00C365C5">
          <w:rPr>
            <w:rStyle w:val="Hyperlink"/>
          </w:rPr>
          <w:t>Reconnaissance guidée de l’Office national de l’énergie</w:t>
        </w:r>
        <w:r w:rsidR="005063C9">
          <w:rPr>
            <w:webHidden/>
          </w:rPr>
          <w:tab/>
        </w:r>
        <w:r w:rsidR="005063C9">
          <w:rPr>
            <w:webHidden/>
          </w:rPr>
          <w:fldChar w:fldCharType="begin"/>
        </w:r>
        <w:r w:rsidR="005063C9">
          <w:rPr>
            <w:webHidden/>
          </w:rPr>
          <w:instrText xml:space="preserve"> PAGEREF _Toc36207785 \h </w:instrText>
        </w:r>
        <w:r w:rsidR="005063C9">
          <w:rPr>
            <w:webHidden/>
          </w:rPr>
        </w:r>
        <w:r w:rsidR="005063C9">
          <w:rPr>
            <w:webHidden/>
          </w:rPr>
          <w:fldChar w:fldCharType="separate"/>
        </w:r>
        <w:r w:rsidR="005063C9">
          <w:rPr>
            <w:webHidden/>
          </w:rPr>
          <w:t>4</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86" w:history="1">
        <w:r w:rsidR="005063C9" w:rsidRPr="00C365C5">
          <w:rPr>
            <w:rStyle w:val="Hyperlink"/>
          </w:rPr>
          <w:t>4.</w:t>
        </w:r>
        <w:r w:rsidR="005063C9">
          <w:rPr>
            <w:rFonts w:asciiTheme="minorHAnsi" w:eastAsiaTheme="minorEastAsia" w:hAnsiTheme="minorHAnsi" w:cstheme="minorBidi"/>
            <w:iCs w:val="0"/>
            <w:sz w:val="22"/>
            <w:szCs w:val="22"/>
            <w:lang w:eastAsia="fr-CA"/>
          </w:rPr>
          <w:tab/>
        </w:r>
        <w:r w:rsidR="005063C9" w:rsidRPr="00C365C5">
          <w:rPr>
            <w:rStyle w:val="Hyperlink"/>
          </w:rPr>
          <w:t>Connaissance de la Régie</w:t>
        </w:r>
        <w:r w:rsidR="005063C9">
          <w:rPr>
            <w:webHidden/>
          </w:rPr>
          <w:tab/>
        </w:r>
        <w:r w:rsidR="005063C9">
          <w:rPr>
            <w:webHidden/>
          </w:rPr>
          <w:fldChar w:fldCharType="begin"/>
        </w:r>
        <w:r w:rsidR="005063C9">
          <w:rPr>
            <w:webHidden/>
          </w:rPr>
          <w:instrText xml:space="preserve"> PAGEREF _Toc36207786 \h </w:instrText>
        </w:r>
        <w:r w:rsidR="005063C9">
          <w:rPr>
            <w:webHidden/>
          </w:rPr>
        </w:r>
        <w:r w:rsidR="005063C9">
          <w:rPr>
            <w:webHidden/>
          </w:rPr>
          <w:fldChar w:fldCharType="separate"/>
        </w:r>
        <w:r w:rsidR="005063C9">
          <w:rPr>
            <w:webHidden/>
          </w:rPr>
          <w:t>5</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87" w:history="1">
        <w:r w:rsidR="005063C9" w:rsidRPr="00C365C5">
          <w:rPr>
            <w:rStyle w:val="Hyperlink"/>
          </w:rPr>
          <w:t>5.</w:t>
        </w:r>
        <w:r w:rsidR="005063C9">
          <w:rPr>
            <w:rFonts w:asciiTheme="minorHAnsi" w:eastAsiaTheme="minorEastAsia" w:hAnsiTheme="minorHAnsi" w:cstheme="minorBidi"/>
            <w:iCs w:val="0"/>
            <w:sz w:val="22"/>
            <w:szCs w:val="22"/>
            <w:lang w:eastAsia="fr-CA"/>
          </w:rPr>
          <w:tab/>
        </w:r>
        <w:r w:rsidR="005063C9" w:rsidRPr="00C365C5">
          <w:rPr>
            <w:rStyle w:val="Hyperlink"/>
          </w:rPr>
          <w:t>Connaissance des fonctions de la Régie</w:t>
        </w:r>
        <w:r w:rsidR="005063C9">
          <w:rPr>
            <w:webHidden/>
          </w:rPr>
          <w:tab/>
        </w:r>
        <w:r w:rsidR="005063C9">
          <w:rPr>
            <w:webHidden/>
          </w:rPr>
          <w:fldChar w:fldCharType="begin"/>
        </w:r>
        <w:r w:rsidR="005063C9">
          <w:rPr>
            <w:webHidden/>
          </w:rPr>
          <w:instrText xml:space="preserve"> PAGEREF _Toc36207787 \h </w:instrText>
        </w:r>
        <w:r w:rsidR="005063C9">
          <w:rPr>
            <w:webHidden/>
          </w:rPr>
        </w:r>
        <w:r w:rsidR="005063C9">
          <w:rPr>
            <w:webHidden/>
          </w:rPr>
          <w:fldChar w:fldCharType="separate"/>
        </w:r>
        <w:r w:rsidR="005063C9">
          <w:rPr>
            <w:webHidden/>
          </w:rPr>
          <w:t>6</w:t>
        </w:r>
        <w:r w:rsidR="005063C9">
          <w:rPr>
            <w:webHidden/>
          </w:rPr>
          <w:fldChar w:fldCharType="end"/>
        </w:r>
      </w:hyperlink>
    </w:p>
    <w:p w:rsidR="005063C9" w:rsidRDefault="00D963D0" w:rsidP="005063C9">
      <w:pPr>
        <w:pStyle w:val="TOC2"/>
        <w:rPr>
          <w:rFonts w:asciiTheme="minorHAnsi" w:eastAsiaTheme="minorEastAsia" w:hAnsiTheme="minorHAnsi" w:cstheme="minorBidi"/>
          <w:sz w:val="22"/>
          <w:szCs w:val="22"/>
          <w:lang w:eastAsia="fr-CA"/>
        </w:rPr>
      </w:pPr>
      <w:hyperlink w:anchor="_Toc36207788" w:history="1">
        <w:r w:rsidR="005063C9" w:rsidRPr="00C365C5">
          <w:rPr>
            <w:rStyle w:val="Hyperlink"/>
          </w:rPr>
          <w:t>II.</w:t>
        </w:r>
        <w:r w:rsidR="005063C9">
          <w:rPr>
            <w:rFonts w:asciiTheme="minorHAnsi" w:eastAsiaTheme="minorEastAsia" w:hAnsiTheme="minorHAnsi" w:cstheme="minorBidi"/>
            <w:sz w:val="22"/>
            <w:szCs w:val="22"/>
            <w:lang w:eastAsia="fr-CA"/>
          </w:rPr>
          <w:tab/>
        </w:r>
        <w:r w:rsidR="005063C9" w:rsidRPr="00C365C5">
          <w:rPr>
            <w:rStyle w:val="Hyperlink"/>
          </w:rPr>
          <w:t>Personnes intéressées à en savoir plus sur la Régie</w:t>
        </w:r>
        <w:r w:rsidR="005063C9">
          <w:rPr>
            <w:webHidden/>
          </w:rPr>
          <w:tab/>
        </w:r>
        <w:r w:rsidR="005063C9">
          <w:rPr>
            <w:webHidden/>
          </w:rPr>
          <w:fldChar w:fldCharType="begin"/>
        </w:r>
        <w:r w:rsidR="005063C9">
          <w:rPr>
            <w:webHidden/>
          </w:rPr>
          <w:instrText xml:space="preserve"> PAGEREF _Toc36207788 \h </w:instrText>
        </w:r>
        <w:r w:rsidR="005063C9">
          <w:rPr>
            <w:webHidden/>
          </w:rPr>
        </w:r>
        <w:r w:rsidR="005063C9">
          <w:rPr>
            <w:webHidden/>
          </w:rPr>
          <w:fldChar w:fldCharType="separate"/>
        </w:r>
        <w:r w:rsidR="005063C9">
          <w:rPr>
            <w:webHidden/>
          </w:rPr>
          <w:t>7</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89" w:history="1">
        <w:r w:rsidR="005063C9" w:rsidRPr="00C365C5">
          <w:rPr>
            <w:rStyle w:val="Hyperlink"/>
          </w:rPr>
          <w:t>1.</w:t>
        </w:r>
        <w:r w:rsidR="005063C9">
          <w:rPr>
            <w:rFonts w:asciiTheme="minorHAnsi" w:eastAsiaTheme="minorEastAsia" w:hAnsiTheme="minorHAnsi" w:cstheme="minorBidi"/>
            <w:iCs w:val="0"/>
            <w:sz w:val="22"/>
            <w:szCs w:val="22"/>
            <w:lang w:eastAsia="fr-CA"/>
          </w:rPr>
          <w:tab/>
        </w:r>
        <w:r w:rsidR="005063C9" w:rsidRPr="00C365C5">
          <w:rPr>
            <w:rStyle w:val="Hyperlink"/>
          </w:rPr>
          <w:t>Intérêt général pour la Régie</w:t>
        </w:r>
        <w:r w:rsidR="005063C9">
          <w:rPr>
            <w:webHidden/>
          </w:rPr>
          <w:tab/>
        </w:r>
        <w:r w:rsidR="005063C9">
          <w:rPr>
            <w:webHidden/>
          </w:rPr>
          <w:fldChar w:fldCharType="begin"/>
        </w:r>
        <w:r w:rsidR="005063C9">
          <w:rPr>
            <w:webHidden/>
          </w:rPr>
          <w:instrText xml:space="preserve"> PAGEREF _Toc36207789 \h </w:instrText>
        </w:r>
        <w:r w:rsidR="005063C9">
          <w:rPr>
            <w:webHidden/>
          </w:rPr>
        </w:r>
        <w:r w:rsidR="005063C9">
          <w:rPr>
            <w:webHidden/>
          </w:rPr>
          <w:fldChar w:fldCharType="separate"/>
        </w:r>
        <w:r w:rsidR="005063C9">
          <w:rPr>
            <w:webHidden/>
          </w:rPr>
          <w:t>7</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90" w:history="1">
        <w:r w:rsidR="005063C9" w:rsidRPr="00C365C5">
          <w:rPr>
            <w:rStyle w:val="Hyperlink"/>
          </w:rPr>
          <w:t>2.</w:t>
        </w:r>
        <w:r w:rsidR="005063C9">
          <w:rPr>
            <w:rFonts w:asciiTheme="minorHAnsi" w:eastAsiaTheme="minorEastAsia" w:hAnsiTheme="minorHAnsi" w:cstheme="minorBidi"/>
            <w:iCs w:val="0"/>
            <w:sz w:val="22"/>
            <w:szCs w:val="22"/>
            <w:lang w:eastAsia="fr-CA"/>
          </w:rPr>
          <w:tab/>
        </w:r>
        <w:r w:rsidR="005063C9" w:rsidRPr="00C365C5">
          <w:rPr>
            <w:rStyle w:val="Hyperlink"/>
          </w:rPr>
          <w:t>Personnes intéressées à en savoir plus sur le travail de la Régie</w:t>
        </w:r>
        <w:r w:rsidR="005063C9">
          <w:rPr>
            <w:webHidden/>
          </w:rPr>
          <w:tab/>
        </w:r>
        <w:r w:rsidR="005063C9">
          <w:rPr>
            <w:webHidden/>
          </w:rPr>
          <w:fldChar w:fldCharType="begin"/>
        </w:r>
        <w:r w:rsidR="005063C9">
          <w:rPr>
            <w:webHidden/>
          </w:rPr>
          <w:instrText xml:space="preserve"> PAGEREF _Toc36207790 \h </w:instrText>
        </w:r>
        <w:r w:rsidR="005063C9">
          <w:rPr>
            <w:webHidden/>
          </w:rPr>
        </w:r>
        <w:r w:rsidR="005063C9">
          <w:rPr>
            <w:webHidden/>
          </w:rPr>
          <w:fldChar w:fldCharType="separate"/>
        </w:r>
        <w:r w:rsidR="005063C9">
          <w:rPr>
            <w:webHidden/>
          </w:rPr>
          <w:t>8</w:t>
        </w:r>
        <w:r w:rsidR="005063C9">
          <w:rPr>
            <w:webHidden/>
          </w:rPr>
          <w:fldChar w:fldCharType="end"/>
        </w:r>
      </w:hyperlink>
    </w:p>
    <w:p w:rsidR="005063C9" w:rsidRDefault="00D963D0" w:rsidP="005063C9">
      <w:pPr>
        <w:pStyle w:val="TOC2"/>
        <w:rPr>
          <w:rFonts w:asciiTheme="minorHAnsi" w:eastAsiaTheme="minorEastAsia" w:hAnsiTheme="minorHAnsi" w:cstheme="minorBidi"/>
          <w:sz w:val="22"/>
          <w:szCs w:val="22"/>
          <w:lang w:eastAsia="fr-CA"/>
        </w:rPr>
      </w:pPr>
      <w:hyperlink w:anchor="_Toc36207791" w:history="1">
        <w:r w:rsidR="005063C9" w:rsidRPr="00C365C5">
          <w:rPr>
            <w:rStyle w:val="Hyperlink"/>
          </w:rPr>
          <w:t>III.</w:t>
        </w:r>
        <w:r w:rsidR="005063C9">
          <w:rPr>
            <w:rFonts w:asciiTheme="minorHAnsi" w:eastAsiaTheme="minorEastAsia" w:hAnsiTheme="minorHAnsi" w:cstheme="minorBidi"/>
            <w:sz w:val="22"/>
            <w:szCs w:val="22"/>
            <w:lang w:eastAsia="fr-CA"/>
          </w:rPr>
          <w:tab/>
        </w:r>
        <w:r w:rsidR="005063C9" w:rsidRPr="00C365C5">
          <w:rPr>
            <w:rStyle w:val="Hyperlink"/>
          </w:rPr>
          <w:t>Confiance dans la Régie et perceptions</w:t>
        </w:r>
        <w:r w:rsidR="005063C9">
          <w:rPr>
            <w:webHidden/>
          </w:rPr>
          <w:tab/>
        </w:r>
        <w:r w:rsidR="005063C9">
          <w:rPr>
            <w:webHidden/>
          </w:rPr>
          <w:fldChar w:fldCharType="begin"/>
        </w:r>
        <w:r w:rsidR="005063C9">
          <w:rPr>
            <w:webHidden/>
          </w:rPr>
          <w:instrText xml:space="preserve"> PAGEREF _Toc36207791 \h </w:instrText>
        </w:r>
        <w:r w:rsidR="005063C9">
          <w:rPr>
            <w:webHidden/>
          </w:rPr>
        </w:r>
        <w:r w:rsidR="005063C9">
          <w:rPr>
            <w:webHidden/>
          </w:rPr>
          <w:fldChar w:fldCharType="separate"/>
        </w:r>
        <w:r w:rsidR="005063C9">
          <w:rPr>
            <w:webHidden/>
          </w:rPr>
          <w:t>9</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92" w:history="1">
        <w:r w:rsidR="005063C9" w:rsidRPr="00C365C5">
          <w:rPr>
            <w:rStyle w:val="Hyperlink"/>
          </w:rPr>
          <w:t>1.</w:t>
        </w:r>
        <w:r w:rsidR="005063C9">
          <w:rPr>
            <w:rFonts w:asciiTheme="minorHAnsi" w:eastAsiaTheme="minorEastAsia" w:hAnsiTheme="minorHAnsi" w:cstheme="minorBidi"/>
            <w:iCs w:val="0"/>
            <w:sz w:val="22"/>
            <w:szCs w:val="22"/>
            <w:lang w:eastAsia="fr-CA"/>
          </w:rPr>
          <w:tab/>
        </w:r>
        <w:r w:rsidR="005063C9" w:rsidRPr="00C365C5">
          <w:rPr>
            <w:rStyle w:val="Hyperlink"/>
          </w:rPr>
          <w:t>Confiance dans la Régie</w:t>
        </w:r>
        <w:r w:rsidR="005063C9">
          <w:rPr>
            <w:webHidden/>
          </w:rPr>
          <w:tab/>
        </w:r>
        <w:r w:rsidR="005063C9">
          <w:rPr>
            <w:webHidden/>
          </w:rPr>
          <w:fldChar w:fldCharType="begin"/>
        </w:r>
        <w:r w:rsidR="005063C9">
          <w:rPr>
            <w:webHidden/>
          </w:rPr>
          <w:instrText xml:space="preserve"> PAGEREF _Toc36207792 \h </w:instrText>
        </w:r>
        <w:r w:rsidR="005063C9">
          <w:rPr>
            <w:webHidden/>
          </w:rPr>
        </w:r>
        <w:r w:rsidR="005063C9">
          <w:rPr>
            <w:webHidden/>
          </w:rPr>
          <w:fldChar w:fldCharType="separate"/>
        </w:r>
        <w:r w:rsidR="005063C9">
          <w:rPr>
            <w:webHidden/>
          </w:rPr>
          <w:t>9</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93" w:history="1">
        <w:r w:rsidR="005063C9" w:rsidRPr="00C365C5">
          <w:rPr>
            <w:rStyle w:val="Hyperlink"/>
          </w:rPr>
          <w:t>2.</w:t>
        </w:r>
        <w:r w:rsidR="005063C9">
          <w:rPr>
            <w:rFonts w:asciiTheme="minorHAnsi" w:eastAsiaTheme="minorEastAsia" w:hAnsiTheme="minorHAnsi" w:cstheme="minorBidi"/>
            <w:iCs w:val="0"/>
            <w:sz w:val="22"/>
            <w:szCs w:val="22"/>
            <w:lang w:eastAsia="fr-CA"/>
          </w:rPr>
          <w:tab/>
        </w:r>
        <w:r w:rsidR="005063C9" w:rsidRPr="00C365C5">
          <w:rPr>
            <w:rStyle w:val="Hyperlink"/>
          </w:rPr>
          <w:t>Comment les Canadiens perçoivent la Régie</w:t>
        </w:r>
        <w:r w:rsidR="005063C9">
          <w:rPr>
            <w:webHidden/>
          </w:rPr>
          <w:tab/>
        </w:r>
        <w:r w:rsidR="005063C9">
          <w:rPr>
            <w:webHidden/>
          </w:rPr>
          <w:fldChar w:fldCharType="begin"/>
        </w:r>
        <w:r w:rsidR="005063C9">
          <w:rPr>
            <w:webHidden/>
          </w:rPr>
          <w:instrText xml:space="preserve"> PAGEREF _Toc36207793 \h </w:instrText>
        </w:r>
        <w:r w:rsidR="005063C9">
          <w:rPr>
            <w:webHidden/>
          </w:rPr>
        </w:r>
        <w:r w:rsidR="005063C9">
          <w:rPr>
            <w:webHidden/>
          </w:rPr>
          <w:fldChar w:fldCharType="separate"/>
        </w:r>
        <w:r w:rsidR="005063C9">
          <w:rPr>
            <w:webHidden/>
          </w:rPr>
          <w:t>11</w:t>
        </w:r>
        <w:r w:rsidR="005063C9">
          <w:rPr>
            <w:webHidden/>
          </w:rPr>
          <w:fldChar w:fldCharType="end"/>
        </w:r>
      </w:hyperlink>
    </w:p>
    <w:p w:rsidR="005063C9" w:rsidRDefault="00D963D0" w:rsidP="005063C9">
      <w:pPr>
        <w:pStyle w:val="TOC2"/>
        <w:rPr>
          <w:rFonts w:asciiTheme="minorHAnsi" w:eastAsiaTheme="minorEastAsia" w:hAnsiTheme="minorHAnsi" w:cstheme="minorBidi"/>
          <w:sz w:val="22"/>
          <w:szCs w:val="22"/>
          <w:lang w:eastAsia="fr-CA"/>
        </w:rPr>
      </w:pPr>
      <w:hyperlink w:anchor="_Toc36207794" w:history="1">
        <w:r w:rsidR="005063C9" w:rsidRPr="00C365C5">
          <w:rPr>
            <w:rStyle w:val="Hyperlink"/>
          </w:rPr>
          <w:t>IV.</w:t>
        </w:r>
        <w:r w:rsidR="005063C9">
          <w:rPr>
            <w:rFonts w:asciiTheme="minorHAnsi" w:eastAsiaTheme="minorEastAsia" w:hAnsiTheme="minorHAnsi" w:cstheme="minorBidi"/>
            <w:sz w:val="22"/>
            <w:szCs w:val="22"/>
            <w:lang w:eastAsia="fr-CA"/>
          </w:rPr>
          <w:tab/>
        </w:r>
        <w:r w:rsidR="005063C9" w:rsidRPr="00C365C5">
          <w:rPr>
            <w:rStyle w:val="Hyperlink"/>
          </w:rPr>
          <w:t>Sensibilisation aux pipelines et lignes de transport d’électricité</w:t>
        </w:r>
        <w:r w:rsidR="005063C9">
          <w:rPr>
            <w:webHidden/>
          </w:rPr>
          <w:tab/>
        </w:r>
        <w:r w:rsidR="005063C9">
          <w:rPr>
            <w:webHidden/>
          </w:rPr>
          <w:fldChar w:fldCharType="begin"/>
        </w:r>
        <w:r w:rsidR="005063C9">
          <w:rPr>
            <w:webHidden/>
          </w:rPr>
          <w:instrText xml:space="preserve"> PAGEREF _Toc36207794 \h </w:instrText>
        </w:r>
        <w:r w:rsidR="005063C9">
          <w:rPr>
            <w:webHidden/>
          </w:rPr>
        </w:r>
        <w:r w:rsidR="005063C9">
          <w:rPr>
            <w:webHidden/>
          </w:rPr>
          <w:fldChar w:fldCharType="separate"/>
        </w:r>
        <w:r w:rsidR="005063C9">
          <w:rPr>
            <w:webHidden/>
          </w:rPr>
          <w:t>12</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95" w:history="1">
        <w:r w:rsidR="005063C9" w:rsidRPr="00C365C5">
          <w:rPr>
            <w:rStyle w:val="Hyperlink"/>
          </w:rPr>
          <w:t>1.</w:t>
        </w:r>
        <w:r w:rsidR="005063C9">
          <w:rPr>
            <w:rFonts w:asciiTheme="minorHAnsi" w:eastAsiaTheme="minorEastAsia" w:hAnsiTheme="minorHAnsi" w:cstheme="minorBidi"/>
            <w:iCs w:val="0"/>
            <w:sz w:val="22"/>
            <w:szCs w:val="22"/>
            <w:lang w:eastAsia="fr-CA"/>
          </w:rPr>
          <w:tab/>
        </w:r>
        <w:r w:rsidR="005063C9" w:rsidRPr="00C365C5">
          <w:rPr>
            <w:rStyle w:val="Hyperlink"/>
          </w:rPr>
          <w:t>Sensibilisation aux projets récents de pipeline et ligne de transport d’électricité au Canada</w:t>
        </w:r>
        <w:r w:rsidR="005063C9">
          <w:rPr>
            <w:webHidden/>
          </w:rPr>
          <w:tab/>
        </w:r>
        <w:r w:rsidR="005063C9">
          <w:rPr>
            <w:webHidden/>
          </w:rPr>
          <w:fldChar w:fldCharType="begin"/>
        </w:r>
        <w:r w:rsidR="005063C9">
          <w:rPr>
            <w:webHidden/>
          </w:rPr>
          <w:instrText xml:space="preserve"> PAGEREF _Toc36207795 \h </w:instrText>
        </w:r>
        <w:r w:rsidR="005063C9">
          <w:rPr>
            <w:webHidden/>
          </w:rPr>
        </w:r>
        <w:r w:rsidR="005063C9">
          <w:rPr>
            <w:webHidden/>
          </w:rPr>
          <w:fldChar w:fldCharType="separate"/>
        </w:r>
        <w:r w:rsidR="005063C9">
          <w:rPr>
            <w:webHidden/>
          </w:rPr>
          <w:t>12</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96" w:history="1">
        <w:r w:rsidR="005063C9" w:rsidRPr="00C365C5">
          <w:rPr>
            <w:rStyle w:val="Hyperlink"/>
          </w:rPr>
          <w:t>2.</w:t>
        </w:r>
        <w:r w:rsidR="005063C9">
          <w:rPr>
            <w:rFonts w:asciiTheme="minorHAnsi" w:eastAsiaTheme="minorEastAsia" w:hAnsiTheme="minorHAnsi" w:cstheme="minorBidi"/>
            <w:iCs w:val="0"/>
            <w:sz w:val="22"/>
            <w:szCs w:val="22"/>
            <w:lang w:eastAsia="fr-CA"/>
          </w:rPr>
          <w:tab/>
        </w:r>
        <w:r w:rsidR="005063C9" w:rsidRPr="00C365C5">
          <w:rPr>
            <w:rStyle w:val="Hyperlink"/>
          </w:rPr>
          <w:t>Provenance des informations récentes sur des projets énergétiques</w:t>
        </w:r>
        <w:r w:rsidR="005063C9">
          <w:rPr>
            <w:webHidden/>
          </w:rPr>
          <w:tab/>
        </w:r>
        <w:r w:rsidR="005063C9">
          <w:rPr>
            <w:webHidden/>
          </w:rPr>
          <w:fldChar w:fldCharType="begin"/>
        </w:r>
        <w:r w:rsidR="005063C9">
          <w:rPr>
            <w:webHidden/>
          </w:rPr>
          <w:instrText xml:space="preserve"> PAGEREF _Toc36207796 \h </w:instrText>
        </w:r>
        <w:r w:rsidR="005063C9">
          <w:rPr>
            <w:webHidden/>
          </w:rPr>
        </w:r>
        <w:r w:rsidR="005063C9">
          <w:rPr>
            <w:webHidden/>
          </w:rPr>
          <w:fldChar w:fldCharType="separate"/>
        </w:r>
        <w:r w:rsidR="005063C9">
          <w:rPr>
            <w:webHidden/>
          </w:rPr>
          <w:t>13</w:t>
        </w:r>
        <w:r w:rsidR="005063C9">
          <w:rPr>
            <w:webHidden/>
          </w:rPr>
          <w:fldChar w:fldCharType="end"/>
        </w:r>
      </w:hyperlink>
    </w:p>
    <w:p w:rsidR="005063C9" w:rsidRDefault="00D963D0" w:rsidP="005063C9">
      <w:pPr>
        <w:pStyle w:val="TOC3"/>
        <w:rPr>
          <w:rFonts w:asciiTheme="minorHAnsi" w:eastAsiaTheme="minorEastAsia" w:hAnsiTheme="minorHAnsi" w:cstheme="minorBidi"/>
          <w:iCs w:val="0"/>
          <w:sz w:val="22"/>
          <w:szCs w:val="22"/>
          <w:lang w:eastAsia="fr-CA"/>
        </w:rPr>
      </w:pPr>
      <w:hyperlink w:anchor="_Toc36207797" w:history="1">
        <w:r w:rsidR="005063C9" w:rsidRPr="00C365C5">
          <w:rPr>
            <w:rStyle w:val="Hyperlink"/>
          </w:rPr>
          <w:t>3.</w:t>
        </w:r>
        <w:r w:rsidR="005063C9">
          <w:rPr>
            <w:rFonts w:asciiTheme="minorHAnsi" w:eastAsiaTheme="minorEastAsia" w:hAnsiTheme="minorHAnsi" w:cstheme="minorBidi"/>
            <w:iCs w:val="0"/>
            <w:sz w:val="22"/>
            <w:szCs w:val="22"/>
            <w:lang w:eastAsia="fr-CA"/>
          </w:rPr>
          <w:tab/>
        </w:r>
        <w:r w:rsidR="005063C9" w:rsidRPr="00C365C5">
          <w:rPr>
            <w:rStyle w:val="Hyperlink"/>
          </w:rPr>
          <w:t>Source des informations récentes sur des projets énergétiques</w:t>
        </w:r>
        <w:r w:rsidR="005063C9">
          <w:rPr>
            <w:webHidden/>
          </w:rPr>
          <w:tab/>
        </w:r>
        <w:r w:rsidR="005063C9">
          <w:rPr>
            <w:webHidden/>
          </w:rPr>
          <w:fldChar w:fldCharType="begin"/>
        </w:r>
        <w:r w:rsidR="005063C9">
          <w:rPr>
            <w:webHidden/>
          </w:rPr>
          <w:instrText xml:space="preserve"> PAGEREF _Toc36207797 \h </w:instrText>
        </w:r>
        <w:r w:rsidR="005063C9">
          <w:rPr>
            <w:webHidden/>
          </w:rPr>
        </w:r>
        <w:r w:rsidR="005063C9">
          <w:rPr>
            <w:webHidden/>
          </w:rPr>
          <w:fldChar w:fldCharType="separate"/>
        </w:r>
        <w:r w:rsidR="005063C9">
          <w:rPr>
            <w:webHidden/>
          </w:rPr>
          <w:t>14</w:t>
        </w:r>
        <w:r w:rsidR="005063C9">
          <w:rPr>
            <w:webHidden/>
          </w:rPr>
          <w:fldChar w:fldCharType="end"/>
        </w:r>
      </w:hyperlink>
    </w:p>
    <w:p w:rsidR="005063C9" w:rsidRDefault="00D963D0" w:rsidP="005063C9">
      <w:pPr>
        <w:pStyle w:val="TOC1"/>
        <w:rPr>
          <w:rFonts w:asciiTheme="minorHAnsi" w:eastAsiaTheme="minorEastAsia" w:hAnsiTheme="minorHAnsi" w:cstheme="minorBidi"/>
          <w:b w:val="0"/>
          <w:bCs w:val="0"/>
          <w:lang w:eastAsia="fr-CA"/>
        </w:rPr>
      </w:pPr>
      <w:hyperlink w:anchor="_Toc36207798" w:history="1">
        <w:r w:rsidR="005063C9" w:rsidRPr="00C365C5">
          <w:rPr>
            <w:rStyle w:val="Hyperlink"/>
          </w:rPr>
          <w:t>Annexe A – Méthodologie</w:t>
        </w:r>
        <w:r w:rsidR="005063C9">
          <w:rPr>
            <w:webHidden/>
          </w:rPr>
          <w:tab/>
        </w:r>
        <w:r w:rsidR="005063C9">
          <w:rPr>
            <w:webHidden/>
          </w:rPr>
          <w:fldChar w:fldCharType="begin"/>
        </w:r>
        <w:r w:rsidR="005063C9">
          <w:rPr>
            <w:webHidden/>
          </w:rPr>
          <w:instrText xml:space="preserve"> PAGEREF _Toc36207798 \h </w:instrText>
        </w:r>
        <w:r w:rsidR="005063C9">
          <w:rPr>
            <w:webHidden/>
          </w:rPr>
        </w:r>
        <w:r w:rsidR="005063C9">
          <w:rPr>
            <w:webHidden/>
          </w:rPr>
          <w:fldChar w:fldCharType="separate"/>
        </w:r>
        <w:r w:rsidR="005063C9">
          <w:rPr>
            <w:webHidden/>
          </w:rPr>
          <w:t>16</w:t>
        </w:r>
        <w:r w:rsidR="005063C9">
          <w:rPr>
            <w:webHidden/>
          </w:rPr>
          <w:fldChar w:fldCharType="end"/>
        </w:r>
      </w:hyperlink>
    </w:p>
    <w:p w:rsidR="005063C9" w:rsidRDefault="00D963D0" w:rsidP="005063C9">
      <w:pPr>
        <w:pStyle w:val="TOC1"/>
        <w:rPr>
          <w:rFonts w:asciiTheme="minorHAnsi" w:eastAsiaTheme="minorEastAsia" w:hAnsiTheme="minorHAnsi" w:cstheme="minorBidi"/>
          <w:b w:val="0"/>
          <w:bCs w:val="0"/>
          <w:lang w:eastAsia="fr-CA"/>
        </w:rPr>
      </w:pPr>
      <w:hyperlink w:anchor="_Toc36207799" w:history="1">
        <w:r w:rsidR="005063C9" w:rsidRPr="00C365C5">
          <w:rPr>
            <w:rStyle w:val="Hyperlink"/>
          </w:rPr>
          <w:t>Annexe B – Instrument de recherche quantitative</w:t>
        </w:r>
        <w:r w:rsidR="005063C9">
          <w:rPr>
            <w:webHidden/>
          </w:rPr>
          <w:tab/>
        </w:r>
        <w:r w:rsidR="005063C9">
          <w:rPr>
            <w:webHidden/>
          </w:rPr>
          <w:fldChar w:fldCharType="begin"/>
        </w:r>
        <w:r w:rsidR="005063C9">
          <w:rPr>
            <w:webHidden/>
          </w:rPr>
          <w:instrText xml:space="preserve"> PAGEREF _Toc36207799 \h </w:instrText>
        </w:r>
        <w:r w:rsidR="005063C9">
          <w:rPr>
            <w:webHidden/>
          </w:rPr>
        </w:r>
        <w:r w:rsidR="005063C9">
          <w:rPr>
            <w:webHidden/>
          </w:rPr>
          <w:fldChar w:fldCharType="separate"/>
        </w:r>
        <w:r w:rsidR="005063C9">
          <w:rPr>
            <w:webHidden/>
          </w:rPr>
          <w:t>21</w:t>
        </w:r>
        <w:r w:rsidR="005063C9">
          <w:rPr>
            <w:webHidden/>
          </w:rPr>
          <w:fldChar w:fldCharType="end"/>
        </w:r>
      </w:hyperlink>
    </w:p>
    <w:p w:rsidR="005063C9" w:rsidRPr="0075235F" w:rsidRDefault="005063C9" w:rsidP="005063C9">
      <w:pPr>
        <w:jc w:val="left"/>
        <w:rPr>
          <w:rFonts w:ascii="Calibri" w:hAnsi="Calibri" w:cs="Calibri"/>
          <w:sz w:val="24"/>
          <w:szCs w:val="24"/>
        </w:rPr>
      </w:pPr>
      <w:r>
        <w:rPr>
          <w:rFonts w:ascii="Calibri" w:hAnsi="Calibri"/>
          <w:sz w:val="22"/>
          <w:szCs w:val="22"/>
        </w:rPr>
        <w:fldChar w:fldCharType="end"/>
      </w:r>
    </w:p>
    <w:p w:rsidR="005063C9" w:rsidRDefault="005063C9" w:rsidP="005063C9">
      <w:pPr>
        <w:pStyle w:val="Heading1"/>
        <w:sectPr w:rsidR="005063C9" w:rsidSect="003F2D96">
          <w:headerReference w:type="default" r:id="rId12"/>
          <w:footerReference w:type="default" r:id="rId13"/>
          <w:pgSz w:w="12240" w:h="15840" w:code="1"/>
          <w:pgMar w:top="1195" w:right="1170" w:bottom="1627" w:left="990" w:header="605" w:footer="662" w:gutter="0"/>
          <w:pgNumType w:start="1"/>
          <w:cols w:space="720"/>
          <w:docGrid w:linePitch="354"/>
        </w:sectPr>
      </w:pPr>
    </w:p>
    <w:p w:rsidR="005063C9" w:rsidRPr="00590A01" w:rsidRDefault="005063C9" w:rsidP="005063C9">
      <w:pPr>
        <w:pStyle w:val="Heading1"/>
      </w:pPr>
      <w:bookmarkStart w:id="51" w:name="_Toc36207776"/>
      <w:r>
        <w:lastRenderedPageBreak/>
        <w:t>Résumé</w:t>
      </w:r>
      <w:bookmarkEnd w:id="51"/>
    </w:p>
    <w:p w:rsidR="005063C9" w:rsidRPr="00322F9F" w:rsidRDefault="005063C9" w:rsidP="005063C9">
      <w:pPr>
        <w:pStyle w:val="Heading4"/>
      </w:pPr>
      <w:bookmarkStart w:id="52" w:name="_Toc510013456"/>
      <w:bookmarkStart w:id="53" w:name="_Toc517860319"/>
      <w:bookmarkStart w:id="54" w:name="_Toc518908336"/>
      <w:r>
        <w:t>Mise en contexte et objectifs</w:t>
      </w:r>
      <w:bookmarkEnd w:id="52"/>
      <w:bookmarkEnd w:id="53"/>
      <w:bookmarkEnd w:id="54"/>
    </w:p>
    <w:p w:rsidR="005063C9" w:rsidRDefault="005063C9" w:rsidP="005063C9">
      <w:pPr>
        <w:pStyle w:val="Para"/>
        <w:rPr>
          <w:rFonts w:asciiTheme="minorHAnsi" w:hAnsiTheme="minorHAnsi"/>
        </w:rPr>
      </w:pPr>
      <w:r>
        <w:t>La Régie de l’énergie du Canada réglemente les oléoducs et les gazoducs ainsi que les lignes de transport d’électricité qui franchissent des limites provinciales ou territoriales ou une frontière internationale. Elle rend des décisions dans l’intérêt public sur des projets énergétiques touchant les Canadiens.</w:t>
      </w:r>
    </w:p>
    <w:p w:rsidR="005063C9" w:rsidRDefault="005063C9" w:rsidP="005063C9">
      <w:pPr>
        <w:pStyle w:val="Para"/>
      </w:pPr>
      <w:bookmarkStart w:id="55" w:name="_Toc510013457"/>
      <w:bookmarkStart w:id="56" w:name="_Toc517860320"/>
      <w:bookmarkStart w:id="57" w:name="_Toc518908337"/>
      <w:r>
        <w:t>La Régie a décidé de mener un sondage auprès des Canadiens au début de 2020. Ce sondage servira de référence pour les futurs suivis annuels du rendement de la Régie par rapport à un ensemble d’indicateurs standard. La Régie planifie de suivre l’opinion des Canadiens pour savoir si elle fonctionne de manière transparente, et si l’information qu’elle produit fait connaître son travail et ses processus de réglementation et suscite la confiance. La Régie se servira des résultats du sondage pour améliorer son programme de communication et l’aligner complètement sur la politique de communication du gouvernement du Canada.</w:t>
      </w:r>
    </w:p>
    <w:p w:rsidR="005063C9" w:rsidRPr="00590A01" w:rsidRDefault="005063C9" w:rsidP="005063C9">
      <w:pPr>
        <w:pStyle w:val="Heading4"/>
      </w:pPr>
      <w:r>
        <w:t>Méthodologie</w:t>
      </w:r>
      <w:bookmarkEnd w:id="55"/>
      <w:bookmarkEnd w:id="56"/>
      <w:bookmarkEnd w:id="57"/>
    </w:p>
    <w:p w:rsidR="005063C9" w:rsidRDefault="005063C9" w:rsidP="005063C9">
      <w:pPr>
        <w:pStyle w:val="Para"/>
        <w:rPr>
          <w:rStyle w:val="normaltextrun"/>
          <w:color w:val="000000"/>
          <w:shd w:val="clear" w:color="auto" w:fill="FFFFFF"/>
        </w:rPr>
      </w:pPr>
      <w:bookmarkStart w:id="58" w:name="_Toc419399059"/>
      <w:r>
        <w:t xml:space="preserve">Environics Research a sondé 1 002 Canadiens adultes (de 18 ans et plus) entre le 4 et le 18 février 2020. L’échantillon comprenait 901 Canadiens des provinces, </w:t>
      </w:r>
      <w:r>
        <w:rPr>
          <w:rStyle w:val="normaltextrun"/>
          <w:color w:val="000000"/>
          <w:shd w:val="clear" w:color="auto" w:fill="FFFFFF"/>
        </w:rPr>
        <w:t>qui font partie d’un panel en ligne. Pour joindre les Canadiens dans les territoires septentrionaux, Environics a réalisé 101 entrevues par téléphone en utilisant des techniques de composition aléatoire conformes aux normes de l’industrie. Les deux sondages ont été effectués à partir du même questionnaire; la version téléphonique a été adaptée légèrement pour la communication verbale.</w:t>
      </w:r>
    </w:p>
    <w:p w:rsidR="005063C9" w:rsidRPr="005C2D1D" w:rsidRDefault="005063C9" w:rsidP="005063C9">
      <w:pPr>
        <w:pStyle w:val="Para"/>
      </w:pPr>
      <w:r>
        <w:t>Les données ont été pondérées statistiquement selon l’âge, le genre et la région, afin que l’échantillon reflète la population du dernier recensement.</w:t>
      </w:r>
    </w:p>
    <w:tbl>
      <w:tblPr>
        <w:tblStyle w:val="TableGridLight1"/>
        <w:tblW w:w="8642" w:type="dxa"/>
        <w:jc w:val="center"/>
        <w:tblLook w:val="0420" w:firstRow="1" w:lastRow="0" w:firstColumn="0" w:lastColumn="0" w:noHBand="0" w:noVBand="1"/>
      </w:tblPr>
      <w:tblGrid>
        <w:gridCol w:w="1980"/>
        <w:gridCol w:w="1665"/>
        <w:gridCol w:w="1666"/>
        <w:gridCol w:w="1665"/>
        <w:gridCol w:w="1666"/>
      </w:tblGrid>
      <w:tr w:rsidR="005063C9" w:rsidRPr="005C2D1D" w:rsidTr="00F24549">
        <w:trPr>
          <w:trHeight w:val="58"/>
          <w:jc w:val="center"/>
        </w:trPr>
        <w:tc>
          <w:tcPr>
            <w:tcW w:w="1980" w:type="dxa"/>
            <w:vAlign w:val="center"/>
            <w:hideMark/>
          </w:tcPr>
          <w:p w:rsidR="005063C9" w:rsidRPr="00577C40" w:rsidRDefault="005063C9" w:rsidP="00F24549">
            <w:pPr>
              <w:pStyle w:val="Para"/>
              <w:keepNext/>
              <w:keepLines/>
              <w:spacing w:before="40" w:after="40" w:line="240" w:lineRule="auto"/>
              <w:rPr>
                <w:b/>
              </w:rPr>
            </w:pPr>
            <w:r>
              <w:rPr>
                <w:b/>
              </w:rPr>
              <w:t>Groupe cible</w:t>
            </w:r>
          </w:p>
        </w:tc>
        <w:tc>
          <w:tcPr>
            <w:tcW w:w="1665" w:type="dxa"/>
          </w:tcPr>
          <w:p w:rsidR="005063C9" w:rsidRPr="00577C40" w:rsidRDefault="005063C9" w:rsidP="00F24549">
            <w:pPr>
              <w:pStyle w:val="Para"/>
              <w:keepNext/>
              <w:keepLines/>
              <w:spacing w:before="40" w:after="40" w:line="240" w:lineRule="auto"/>
              <w:jc w:val="center"/>
              <w:rPr>
                <w:b/>
              </w:rPr>
            </w:pPr>
            <w:r>
              <w:rPr>
                <w:b/>
              </w:rPr>
              <w:t>Proportion de la population</w:t>
            </w:r>
          </w:p>
        </w:tc>
        <w:tc>
          <w:tcPr>
            <w:tcW w:w="1666" w:type="dxa"/>
            <w:vAlign w:val="center"/>
            <w:hideMark/>
          </w:tcPr>
          <w:p w:rsidR="005063C9" w:rsidRPr="00577C40" w:rsidRDefault="005063C9" w:rsidP="00F24549">
            <w:pPr>
              <w:pStyle w:val="Para"/>
              <w:keepNext/>
              <w:keepLines/>
              <w:spacing w:before="40" w:after="40" w:line="240" w:lineRule="auto"/>
              <w:jc w:val="center"/>
              <w:rPr>
                <w:b/>
              </w:rPr>
            </w:pPr>
            <w:r>
              <w:rPr>
                <w:b/>
              </w:rPr>
              <w:t>Objectif</w:t>
            </w:r>
            <w:r>
              <w:rPr>
                <w:b/>
              </w:rPr>
              <w:br/>
              <w:t>(quota)</w:t>
            </w:r>
          </w:p>
        </w:tc>
        <w:tc>
          <w:tcPr>
            <w:tcW w:w="1665" w:type="dxa"/>
            <w:vAlign w:val="center"/>
            <w:hideMark/>
          </w:tcPr>
          <w:p w:rsidR="005063C9" w:rsidRPr="00577C40" w:rsidRDefault="005063C9" w:rsidP="00F24549">
            <w:pPr>
              <w:pStyle w:val="Para"/>
              <w:keepNext/>
              <w:keepLines/>
              <w:spacing w:before="40" w:after="40" w:line="240" w:lineRule="auto"/>
              <w:jc w:val="center"/>
              <w:rPr>
                <w:b/>
              </w:rPr>
            </w:pPr>
            <w:r>
              <w:rPr>
                <w:b/>
              </w:rPr>
              <w:t>Données réelles</w:t>
            </w:r>
            <w:r>
              <w:rPr>
                <w:b/>
              </w:rPr>
              <w:br/>
              <w:t>non pondérées</w:t>
            </w:r>
          </w:p>
        </w:tc>
        <w:tc>
          <w:tcPr>
            <w:tcW w:w="1666" w:type="dxa"/>
            <w:vAlign w:val="center"/>
            <w:hideMark/>
          </w:tcPr>
          <w:p w:rsidR="005063C9" w:rsidRPr="00577C40" w:rsidRDefault="005063C9" w:rsidP="00F24549">
            <w:pPr>
              <w:pStyle w:val="Para"/>
              <w:keepNext/>
              <w:keepLines/>
              <w:spacing w:before="40" w:after="40" w:line="240" w:lineRule="auto"/>
              <w:jc w:val="center"/>
              <w:rPr>
                <w:b/>
              </w:rPr>
            </w:pPr>
            <w:r>
              <w:rPr>
                <w:b/>
              </w:rPr>
              <w:t>Données réelles</w:t>
            </w:r>
            <w:r>
              <w:rPr>
                <w:b/>
              </w:rPr>
              <w:br/>
              <w:t>pondérées*</w:t>
            </w:r>
          </w:p>
        </w:tc>
      </w:tr>
      <w:tr w:rsidR="005063C9" w:rsidRPr="005C2D1D" w:rsidTr="00F24549">
        <w:trPr>
          <w:trHeight w:val="91"/>
          <w:jc w:val="center"/>
        </w:trPr>
        <w:tc>
          <w:tcPr>
            <w:tcW w:w="1980" w:type="dxa"/>
            <w:vAlign w:val="center"/>
            <w:hideMark/>
          </w:tcPr>
          <w:p w:rsidR="005063C9" w:rsidRPr="00577C40" w:rsidRDefault="005063C9" w:rsidP="00F24549">
            <w:pPr>
              <w:pStyle w:val="Para"/>
              <w:keepNext/>
              <w:keepLines/>
              <w:spacing w:before="40" w:after="40" w:line="240" w:lineRule="auto"/>
            </w:pPr>
            <w:r>
              <w:t>Total</w:t>
            </w:r>
          </w:p>
        </w:tc>
        <w:tc>
          <w:tcPr>
            <w:tcW w:w="1665" w:type="dxa"/>
          </w:tcPr>
          <w:p w:rsidR="005063C9" w:rsidRPr="00577C40" w:rsidRDefault="005063C9" w:rsidP="00F24549">
            <w:pPr>
              <w:pStyle w:val="Para"/>
              <w:keepNext/>
              <w:keepLines/>
              <w:spacing w:before="40" w:after="40" w:line="240" w:lineRule="auto"/>
              <w:jc w:val="center"/>
            </w:pPr>
            <w:r>
              <w:t>100 %</w:t>
            </w:r>
          </w:p>
        </w:tc>
        <w:tc>
          <w:tcPr>
            <w:tcW w:w="1666" w:type="dxa"/>
            <w:vAlign w:val="center"/>
            <w:hideMark/>
          </w:tcPr>
          <w:p w:rsidR="005063C9" w:rsidRPr="00577C40" w:rsidRDefault="005063C9" w:rsidP="00F24549">
            <w:pPr>
              <w:pStyle w:val="Para"/>
              <w:keepNext/>
              <w:keepLines/>
              <w:spacing w:before="40" w:after="40" w:line="240" w:lineRule="auto"/>
              <w:jc w:val="center"/>
            </w:pPr>
            <w:r>
              <w:t>1 000</w:t>
            </w:r>
          </w:p>
        </w:tc>
        <w:tc>
          <w:tcPr>
            <w:tcW w:w="1665" w:type="dxa"/>
            <w:vAlign w:val="center"/>
            <w:hideMark/>
          </w:tcPr>
          <w:p w:rsidR="005063C9" w:rsidRPr="00577C40" w:rsidRDefault="005063C9" w:rsidP="00F24549">
            <w:pPr>
              <w:pStyle w:val="Para"/>
              <w:keepNext/>
              <w:keepLines/>
              <w:spacing w:before="40" w:after="40" w:line="240" w:lineRule="auto"/>
              <w:jc w:val="center"/>
            </w:pPr>
            <w:r>
              <w:t>1 002</w:t>
            </w:r>
          </w:p>
        </w:tc>
        <w:tc>
          <w:tcPr>
            <w:tcW w:w="1666" w:type="dxa"/>
            <w:vAlign w:val="center"/>
            <w:hideMark/>
          </w:tcPr>
          <w:p w:rsidR="005063C9" w:rsidRPr="00577C40" w:rsidRDefault="005063C9" w:rsidP="00F24549">
            <w:pPr>
              <w:pStyle w:val="Para"/>
              <w:keepNext/>
              <w:keepLines/>
              <w:spacing w:before="40" w:after="40" w:line="240" w:lineRule="auto"/>
              <w:jc w:val="center"/>
            </w:pPr>
            <w:r>
              <w:t>1 002</w:t>
            </w:r>
          </w:p>
        </w:tc>
      </w:tr>
      <w:tr w:rsidR="005063C9" w:rsidRPr="0077135B" w:rsidTr="00F24549">
        <w:trPr>
          <w:trHeight w:val="64"/>
          <w:jc w:val="center"/>
        </w:trPr>
        <w:tc>
          <w:tcPr>
            <w:tcW w:w="1980" w:type="dxa"/>
            <w:vAlign w:val="center"/>
            <w:hideMark/>
          </w:tcPr>
          <w:p w:rsidR="005063C9" w:rsidRPr="0077135B" w:rsidRDefault="005063C9" w:rsidP="00F24549">
            <w:pPr>
              <w:pStyle w:val="Para"/>
              <w:keepNext/>
              <w:keepLines/>
              <w:spacing w:before="40" w:after="40" w:line="240" w:lineRule="auto"/>
            </w:pPr>
            <w:r>
              <w:t>Atlantique</w:t>
            </w:r>
          </w:p>
        </w:tc>
        <w:tc>
          <w:tcPr>
            <w:tcW w:w="1665" w:type="dxa"/>
          </w:tcPr>
          <w:p w:rsidR="005063C9" w:rsidRPr="0077135B" w:rsidRDefault="005063C9" w:rsidP="00F24549">
            <w:pPr>
              <w:pStyle w:val="Para"/>
              <w:keepNext/>
              <w:keepLines/>
              <w:spacing w:before="40" w:after="40" w:line="240" w:lineRule="auto"/>
              <w:jc w:val="center"/>
            </w:pPr>
            <w:r>
              <w:t>7 %</w:t>
            </w:r>
          </w:p>
        </w:tc>
        <w:tc>
          <w:tcPr>
            <w:tcW w:w="1666" w:type="dxa"/>
            <w:vAlign w:val="center"/>
            <w:hideMark/>
          </w:tcPr>
          <w:p w:rsidR="005063C9" w:rsidRPr="0077135B" w:rsidRDefault="005063C9" w:rsidP="00F24549">
            <w:pPr>
              <w:pStyle w:val="Para"/>
              <w:keepNext/>
              <w:keepLines/>
              <w:spacing w:before="40" w:after="40" w:line="240" w:lineRule="auto"/>
              <w:jc w:val="center"/>
            </w:pPr>
            <w:r>
              <w:t>100</w:t>
            </w:r>
          </w:p>
        </w:tc>
        <w:tc>
          <w:tcPr>
            <w:tcW w:w="1665" w:type="dxa"/>
            <w:vAlign w:val="center"/>
          </w:tcPr>
          <w:p w:rsidR="005063C9" w:rsidRPr="0077135B" w:rsidRDefault="005063C9" w:rsidP="00F24549">
            <w:pPr>
              <w:pStyle w:val="Para"/>
              <w:keepNext/>
              <w:keepLines/>
              <w:spacing w:before="40" w:after="40" w:line="240" w:lineRule="auto"/>
              <w:jc w:val="center"/>
            </w:pPr>
            <w:r>
              <w:t>100</w:t>
            </w:r>
          </w:p>
        </w:tc>
        <w:tc>
          <w:tcPr>
            <w:tcW w:w="1666" w:type="dxa"/>
            <w:vAlign w:val="center"/>
          </w:tcPr>
          <w:p w:rsidR="005063C9" w:rsidRPr="0077135B" w:rsidRDefault="005063C9" w:rsidP="00F24549">
            <w:pPr>
              <w:pStyle w:val="Para"/>
              <w:keepNext/>
              <w:keepLines/>
              <w:spacing w:before="40" w:after="40" w:line="240" w:lineRule="auto"/>
              <w:jc w:val="center"/>
            </w:pPr>
            <w:r>
              <w:t>66</w:t>
            </w:r>
          </w:p>
        </w:tc>
      </w:tr>
      <w:tr w:rsidR="005063C9" w:rsidRPr="0077135B" w:rsidTr="00F24549">
        <w:trPr>
          <w:trHeight w:val="58"/>
          <w:jc w:val="center"/>
        </w:trPr>
        <w:tc>
          <w:tcPr>
            <w:tcW w:w="1980" w:type="dxa"/>
            <w:vAlign w:val="center"/>
            <w:hideMark/>
          </w:tcPr>
          <w:p w:rsidR="005063C9" w:rsidRPr="0077135B" w:rsidRDefault="005063C9" w:rsidP="00F24549">
            <w:pPr>
              <w:pStyle w:val="Para"/>
              <w:spacing w:before="40" w:after="40" w:line="240" w:lineRule="auto"/>
            </w:pPr>
            <w:r>
              <w:t>Québec</w:t>
            </w:r>
          </w:p>
        </w:tc>
        <w:tc>
          <w:tcPr>
            <w:tcW w:w="1665" w:type="dxa"/>
          </w:tcPr>
          <w:p w:rsidR="005063C9" w:rsidRPr="0077135B" w:rsidRDefault="005063C9" w:rsidP="00F24549">
            <w:pPr>
              <w:pStyle w:val="Para"/>
              <w:spacing w:before="40" w:after="40" w:line="240" w:lineRule="auto"/>
              <w:jc w:val="center"/>
            </w:pPr>
            <w:r>
              <w:t>23 %</w:t>
            </w:r>
          </w:p>
        </w:tc>
        <w:tc>
          <w:tcPr>
            <w:tcW w:w="1666" w:type="dxa"/>
            <w:vAlign w:val="center"/>
            <w:hideMark/>
          </w:tcPr>
          <w:p w:rsidR="005063C9" w:rsidRPr="0077135B" w:rsidRDefault="005063C9" w:rsidP="00F24549">
            <w:pPr>
              <w:pStyle w:val="Para"/>
              <w:spacing w:before="40" w:after="40" w:line="240" w:lineRule="auto"/>
              <w:jc w:val="center"/>
            </w:pPr>
            <w:r>
              <w:t>200</w:t>
            </w:r>
          </w:p>
        </w:tc>
        <w:tc>
          <w:tcPr>
            <w:tcW w:w="1665" w:type="dxa"/>
            <w:vAlign w:val="center"/>
          </w:tcPr>
          <w:p w:rsidR="005063C9" w:rsidRPr="0077135B" w:rsidRDefault="005063C9" w:rsidP="00F24549">
            <w:pPr>
              <w:pStyle w:val="Para"/>
              <w:spacing w:before="40" w:after="40" w:line="240" w:lineRule="auto"/>
              <w:jc w:val="center"/>
            </w:pPr>
            <w:r>
              <w:t>200</w:t>
            </w:r>
          </w:p>
        </w:tc>
        <w:tc>
          <w:tcPr>
            <w:tcW w:w="1666" w:type="dxa"/>
            <w:vAlign w:val="center"/>
          </w:tcPr>
          <w:p w:rsidR="005063C9" w:rsidRPr="0077135B" w:rsidRDefault="005063C9" w:rsidP="00F24549">
            <w:pPr>
              <w:pStyle w:val="Para"/>
              <w:spacing w:before="40" w:after="40" w:line="240" w:lineRule="auto"/>
              <w:jc w:val="center"/>
            </w:pPr>
            <w:r>
              <w:t>232</w:t>
            </w:r>
          </w:p>
        </w:tc>
      </w:tr>
      <w:tr w:rsidR="005063C9" w:rsidRPr="0077135B" w:rsidTr="00F24549">
        <w:trPr>
          <w:trHeight w:val="58"/>
          <w:jc w:val="center"/>
        </w:trPr>
        <w:tc>
          <w:tcPr>
            <w:tcW w:w="1980" w:type="dxa"/>
            <w:vAlign w:val="center"/>
          </w:tcPr>
          <w:p w:rsidR="005063C9" w:rsidRPr="0077135B" w:rsidRDefault="005063C9" w:rsidP="00F24549">
            <w:pPr>
              <w:pStyle w:val="Para"/>
              <w:spacing w:before="40" w:after="40" w:line="240" w:lineRule="auto"/>
            </w:pPr>
            <w:r>
              <w:t>Ontario</w:t>
            </w:r>
          </w:p>
        </w:tc>
        <w:tc>
          <w:tcPr>
            <w:tcW w:w="1665" w:type="dxa"/>
          </w:tcPr>
          <w:p w:rsidR="005063C9" w:rsidRPr="0077135B" w:rsidRDefault="005063C9" w:rsidP="00F24549">
            <w:pPr>
              <w:pStyle w:val="Para"/>
              <w:spacing w:before="40" w:after="40" w:line="240" w:lineRule="auto"/>
              <w:jc w:val="center"/>
            </w:pPr>
            <w:r>
              <w:t>38 %</w:t>
            </w:r>
          </w:p>
        </w:tc>
        <w:tc>
          <w:tcPr>
            <w:tcW w:w="1666" w:type="dxa"/>
            <w:vAlign w:val="center"/>
          </w:tcPr>
          <w:p w:rsidR="005063C9" w:rsidRPr="0077135B" w:rsidRDefault="005063C9" w:rsidP="00F24549">
            <w:pPr>
              <w:pStyle w:val="Para"/>
              <w:spacing w:before="40" w:after="40" w:line="240" w:lineRule="auto"/>
              <w:jc w:val="center"/>
            </w:pPr>
            <w:r>
              <w:t>200</w:t>
            </w:r>
          </w:p>
        </w:tc>
        <w:tc>
          <w:tcPr>
            <w:tcW w:w="1665" w:type="dxa"/>
            <w:vAlign w:val="center"/>
          </w:tcPr>
          <w:p w:rsidR="005063C9" w:rsidRPr="0077135B" w:rsidRDefault="005063C9" w:rsidP="00F24549">
            <w:pPr>
              <w:pStyle w:val="Para"/>
              <w:spacing w:before="40" w:after="40" w:line="240" w:lineRule="auto"/>
              <w:jc w:val="center"/>
            </w:pPr>
            <w:r>
              <w:t>200</w:t>
            </w:r>
          </w:p>
        </w:tc>
        <w:tc>
          <w:tcPr>
            <w:tcW w:w="1666" w:type="dxa"/>
            <w:vAlign w:val="center"/>
          </w:tcPr>
          <w:p w:rsidR="005063C9" w:rsidRPr="0077135B" w:rsidRDefault="005063C9" w:rsidP="00F24549">
            <w:pPr>
              <w:pStyle w:val="Para"/>
              <w:spacing w:before="40" w:after="40" w:line="240" w:lineRule="auto"/>
              <w:jc w:val="center"/>
            </w:pPr>
            <w:r>
              <w:t>384</w:t>
            </w:r>
          </w:p>
        </w:tc>
      </w:tr>
      <w:tr w:rsidR="005063C9" w:rsidRPr="0077135B" w:rsidTr="00F24549">
        <w:trPr>
          <w:trHeight w:val="58"/>
          <w:jc w:val="center"/>
        </w:trPr>
        <w:tc>
          <w:tcPr>
            <w:tcW w:w="1980" w:type="dxa"/>
            <w:vAlign w:val="center"/>
          </w:tcPr>
          <w:p w:rsidR="005063C9" w:rsidRPr="0077135B" w:rsidRDefault="005063C9" w:rsidP="00F24549">
            <w:pPr>
              <w:pStyle w:val="Para"/>
              <w:spacing w:before="40" w:after="40" w:line="240" w:lineRule="auto"/>
            </w:pPr>
            <w:r>
              <w:t>Man./Sask.</w:t>
            </w:r>
          </w:p>
        </w:tc>
        <w:tc>
          <w:tcPr>
            <w:tcW w:w="1665" w:type="dxa"/>
          </w:tcPr>
          <w:p w:rsidR="005063C9" w:rsidRPr="0077135B" w:rsidRDefault="005063C9" w:rsidP="00F24549">
            <w:pPr>
              <w:pStyle w:val="Para"/>
              <w:spacing w:before="40" w:after="40" w:line="240" w:lineRule="auto"/>
              <w:jc w:val="center"/>
            </w:pPr>
            <w:r>
              <w:t>7 %</w:t>
            </w:r>
          </w:p>
        </w:tc>
        <w:tc>
          <w:tcPr>
            <w:tcW w:w="1666" w:type="dxa"/>
            <w:vAlign w:val="center"/>
          </w:tcPr>
          <w:p w:rsidR="005063C9" w:rsidRPr="0077135B" w:rsidRDefault="005063C9" w:rsidP="00F24549">
            <w:pPr>
              <w:pStyle w:val="Para"/>
              <w:spacing w:before="40" w:after="40" w:line="240" w:lineRule="auto"/>
              <w:jc w:val="center"/>
            </w:pPr>
            <w:r>
              <w:t>100</w:t>
            </w:r>
          </w:p>
        </w:tc>
        <w:tc>
          <w:tcPr>
            <w:tcW w:w="1665" w:type="dxa"/>
            <w:vAlign w:val="center"/>
          </w:tcPr>
          <w:p w:rsidR="005063C9" w:rsidRPr="0077135B" w:rsidRDefault="005063C9" w:rsidP="00F24549">
            <w:pPr>
              <w:pStyle w:val="Para"/>
              <w:spacing w:before="40" w:after="40" w:line="240" w:lineRule="auto"/>
              <w:jc w:val="center"/>
            </w:pPr>
            <w:r>
              <w:t>100</w:t>
            </w:r>
          </w:p>
        </w:tc>
        <w:tc>
          <w:tcPr>
            <w:tcW w:w="1666" w:type="dxa"/>
            <w:vAlign w:val="center"/>
          </w:tcPr>
          <w:p w:rsidR="005063C9" w:rsidRPr="0077135B" w:rsidRDefault="005063C9" w:rsidP="00F24549">
            <w:pPr>
              <w:pStyle w:val="Para"/>
              <w:spacing w:before="40" w:after="40" w:line="240" w:lineRule="auto"/>
              <w:jc w:val="center"/>
            </w:pPr>
            <w:r>
              <w:t>68</w:t>
            </w:r>
          </w:p>
        </w:tc>
      </w:tr>
      <w:tr w:rsidR="005063C9" w:rsidRPr="0077135B" w:rsidTr="00F24549">
        <w:trPr>
          <w:trHeight w:val="58"/>
          <w:jc w:val="center"/>
        </w:trPr>
        <w:tc>
          <w:tcPr>
            <w:tcW w:w="1980" w:type="dxa"/>
            <w:vAlign w:val="center"/>
          </w:tcPr>
          <w:p w:rsidR="005063C9" w:rsidRPr="0077135B" w:rsidRDefault="005063C9" w:rsidP="00F24549">
            <w:pPr>
              <w:pStyle w:val="Para"/>
              <w:spacing w:before="40" w:after="40" w:line="240" w:lineRule="auto"/>
            </w:pPr>
            <w:r>
              <w:t>Alberta</w:t>
            </w:r>
          </w:p>
        </w:tc>
        <w:tc>
          <w:tcPr>
            <w:tcW w:w="1665" w:type="dxa"/>
          </w:tcPr>
          <w:p w:rsidR="005063C9" w:rsidRPr="0077135B" w:rsidRDefault="005063C9" w:rsidP="00F24549">
            <w:pPr>
              <w:pStyle w:val="Para"/>
              <w:spacing w:before="40" w:after="40" w:line="240" w:lineRule="auto"/>
              <w:jc w:val="center"/>
            </w:pPr>
            <w:r>
              <w:t>11 %</w:t>
            </w:r>
          </w:p>
        </w:tc>
        <w:tc>
          <w:tcPr>
            <w:tcW w:w="1666" w:type="dxa"/>
            <w:vAlign w:val="center"/>
          </w:tcPr>
          <w:p w:rsidR="005063C9" w:rsidRPr="0077135B" w:rsidRDefault="005063C9" w:rsidP="00F24549">
            <w:pPr>
              <w:pStyle w:val="Para"/>
              <w:spacing w:before="40" w:after="40" w:line="240" w:lineRule="auto"/>
              <w:jc w:val="center"/>
            </w:pPr>
            <w:r>
              <w:t>150</w:t>
            </w:r>
          </w:p>
        </w:tc>
        <w:tc>
          <w:tcPr>
            <w:tcW w:w="1665" w:type="dxa"/>
            <w:vAlign w:val="center"/>
          </w:tcPr>
          <w:p w:rsidR="005063C9" w:rsidRPr="0077135B" w:rsidRDefault="005063C9" w:rsidP="00F24549">
            <w:pPr>
              <w:pStyle w:val="Para"/>
              <w:spacing w:before="40" w:after="40" w:line="240" w:lineRule="auto"/>
              <w:jc w:val="center"/>
            </w:pPr>
            <w:r>
              <w:t>151</w:t>
            </w:r>
          </w:p>
        </w:tc>
        <w:tc>
          <w:tcPr>
            <w:tcW w:w="1666" w:type="dxa"/>
            <w:vAlign w:val="center"/>
          </w:tcPr>
          <w:p w:rsidR="005063C9" w:rsidRPr="0077135B" w:rsidRDefault="005063C9" w:rsidP="00F24549">
            <w:pPr>
              <w:pStyle w:val="Para"/>
              <w:spacing w:before="40" w:after="40" w:line="240" w:lineRule="auto"/>
              <w:jc w:val="center"/>
            </w:pPr>
            <w:r>
              <w:t>116</w:t>
            </w:r>
          </w:p>
        </w:tc>
      </w:tr>
      <w:tr w:rsidR="005063C9" w:rsidRPr="0077135B" w:rsidTr="00F24549">
        <w:trPr>
          <w:trHeight w:val="58"/>
          <w:jc w:val="center"/>
        </w:trPr>
        <w:tc>
          <w:tcPr>
            <w:tcW w:w="1980" w:type="dxa"/>
            <w:vAlign w:val="center"/>
          </w:tcPr>
          <w:p w:rsidR="005063C9" w:rsidRDefault="005063C9" w:rsidP="00F24549">
            <w:pPr>
              <w:pStyle w:val="Para"/>
              <w:spacing w:before="40" w:after="40" w:line="240" w:lineRule="auto"/>
            </w:pPr>
            <w:r>
              <w:t>C.-B.</w:t>
            </w:r>
          </w:p>
        </w:tc>
        <w:tc>
          <w:tcPr>
            <w:tcW w:w="1665" w:type="dxa"/>
          </w:tcPr>
          <w:p w:rsidR="005063C9" w:rsidRDefault="005063C9" w:rsidP="00F24549">
            <w:pPr>
              <w:pStyle w:val="Para"/>
              <w:spacing w:before="40" w:after="40" w:line="240" w:lineRule="auto"/>
              <w:jc w:val="center"/>
            </w:pPr>
            <w:r>
              <w:t>14 %</w:t>
            </w:r>
          </w:p>
        </w:tc>
        <w:tc>
          <w:tcPr>
            <w:tcW w:w="1666" w:type="dxa"/>
            <w:vAlign w:val="center"/>
          </w:tcPr>
          <w:p w:rsidR="005063C9" w:rsidRDefault="005063C9" w:rsidP="00F24549">
            <w:pPr>
              <w:pStyle w:val="Para"/>
              <w:spacing w:before="40" w:after="40" w:line="240" w:lineRule="auto"/>
              <w:jc w:val="center"/>
            </w:pPr>
            <w:r>
              <w:t>150</w:t>
            </w:r>
          </w:p>
        </w:tc>
        <w:tc>
          <w:tcPr>
            <w:tcW w:w="1665" w:type="dxa"/>
            <w:vAlign w:val="center"/>
          </w:tcPr>
          <w:p w:rsidR="005063C9" w:rsidRDefault="005063C9" w:rsidP="00F24549">
            <w:pPr>
              <w:pStyle w:val="Para"/>
              <w:spacing w:before="40" w:after="40" w:line="240" w:lineRule="auto"/>
              <w:jc w:val="center"/>
            </w:pPr>
            <w:r>
              <w:t>150 km</w:t>
            </w:r>
          </w:p>
        </w:tc>
        <w:tc>
          <w:tcPr>
            <w:tcW w:w="1666" w:type="dxa"/>
            <w:vAlign w:val="center"/>
          </w:tcPr>
          <w:p w:rsidR="005063C9" w:rsidRPr="0077135B" w:rsidRDefault="005063C9" w:rsidP="00F24549">
            <w:pPr>
              <w:pStyle w:val="Para"/>
              <w:spacing w:before="40" w:after="40" w:line="240" w:lineRule="auto"/>
              <w:jc w:val="center"/>
            </w:pPr>
            <w:r>
              <w:t>133</w:t>
            </w:r>
          </w:p>
        </w:tc>
      </w:tr>
      <w:tr w:rsidR="005063C9" w:rsidRPr="0077135B" w:rsidTr="00F24549">
        <w:trPr>
          <w:trHeight w:val="58"/>
          <w:jc w:val="center"/>
        </w:trPr>
        <w:tc>
          <w:tcPr>
            <w:tcW w:w="1980" w:type="dxa"/>
            <w:vAlign w:val="center"/>
          </w:tcPr>
          <w:p w:rsidR="005063C9" w:rsidRDefault="005063C9" w:rsidP="00F24549">
            <w:pPr>
              <w:pStyle w:val="Para"/>
              <w:spacing w:before="40" w:after="40" w:line="240" w:lineRule="auto"/>
            </w:pPr>
            <w:r>
              <w:t>Territoires</w:t>
            </w:r>
          </w:p>
        </w:tc>
        <w:tc>
          <w:tcPr>
            <w:tcW w:w="1665" w:type="dxa"/>
          </w:tcPr>
          <w:p w:rsidR="005063C9" w:rsidRDefault="005063C9" w:rsidP="00F24549">
            <w:pPr>
              <w:pStyle w:val="Para"/>
              <w:spacing w:before="40" w:after="40" w:line="240" w:lineRule="auto"/>
              <w:jc w:val="center"/>
            </w:pPr>
            <w:r>
              <w:t>&lt;1 %</w:t>
            </w:r>
          </w:p>
        </w:tc>
        <w:tc>
          <w:tcPr>
            <w:tcW w:w="1666" w:type="dxa"/>
            <w:vAlign w:val="center"/>
          </w:tcPr>
          <w:p w:rsidR="005063C9" w:rsidRDefault="005063C9" w:rsidP="00F24549">
            <w:pPr>
              <w:pStyle w:val="Para"/>
              <w:spacing w:before="40" w:after="40" w:line="240" w:lineRule="auto"/>
              <w:jc w:val="center"/>
            </w:pPr>
            <w:r>
              <w:t>100</w:t>
            </w:r>
          </w:p>
        </w:tc>
        <w:tc>
          <w:tcPr>
            <w:tcW w:w="1665" w:type="dxa"/>
            <w:vAlign w:val="center"/>
          </w:tcPr>
          <w:p w:rsidR="005063C9" w:rsidRDefault="005063C9" w:rsidP="00F24549">
            <w:pPr>
              <w:pStyle w:val="Para"/>
              <w:spacing w:before="40" w:after="40" w:line="240" w:lineRule="auto"/>
              <w:jc w:val="center"/>
            </w:pPr>
            <w:r>
              <w:t>101</w:t>
            </w:r>
          </w:p>
        </w:tc>
        <w:tc>
          <w:tcPr>
            <w:tcW w:w="1666" w:type="dxa"/>
            <w:vAlign w:val="center"/>
          </w:tcPr>
          <w:p w:rsidR="005063C9" w:rsidRPr="0077135B" w:rsidRDefault="005063C9" w:rsidP="00F24549">
            <w:pPr>
              <w:pStyle w:val="Para"/>
              <w:spacing w:before="40" w:after="40" w:line="240" w:lineRule="auto"/>
              <w:jc w:val="center"/>
            </w:pPr>
            <w:r>
              <w:t>2</w:t>
            </w:r>
          </w:p>
        </w:tc>
      </w:tr>
    </w:tbl>
    <w:p w:rsidR="005063C9" w:rsidRPr="0015020E" w:rsidRDefault="005063C9" w:rsidP="005063C9">
      <w:pPr>
        <w:pStyle w:val="Para"/>
        <w:ind w:left="810"/>
        <w:rPr>
          <w:sz w:val="16"/>
        </w:rPr>
      </w:pPr>
      <w:r>
        <w:rPr>
          <w:sz w:val="16"/>
        </w:rPr>
        <w:t>*Résultats pondérés selon la région, le genre et l’âge en fonction des données du Recensement de 2016</w:t>
      </w:r>
    </w:p>
    <w:p w:rsidR="005063C9" w:rsidRDefault="005063C9" w:rsidP="005063C9">
      <w:pPr>
        <w:pStyle w:val="Para"/>
      </w:pPr>
      <w:r>
        <w:rPr>
          <w:rStyle w:val="eop"/>
          <w:color w:val="000000"/>
          <w:shd w:val="clear" w:color="auto" w:fill="FFFFFF"/>
        </w:rPr>
        <w:t>L’annexe A renferme de plus amples renseignements sur la méthodologie employée pour le sondage.</w:t>
      </w:r>
    </w:p>
    <w:p w:rsidR="005063C9" w:rsidRDefault="005063C9" w:rsidP="005063C9">
      <w:pPr>
        <w:pStyle w:val="Heading4"/>
      </w:pPr>
      <w:bookmarkStart w:id="59" w:name="_Toc510013459"/>
      <w:bookmarkStart w:id="60" w:name="_Toc517860322"/>
      <w:bookmarkStart w:id="61" w:name="_Toc518908339"/>
      <w:r>
        <w:lastRenderedPageBreak/>
        <w:t>Coût de la recherche</w:t>
      </w:r>
      <w:bookmarkEnd w:id="58"/>
      <w:bookmarkEnd w:id="59"/>
      <w:bookmarkEnd w:id="60"/>
      <w:bookmarkEnd w:id="61"/>
    </w:p>
    <w:p w:rsidR="005063C9" w:rsidRDefault="005063C9" w:rsidP="005063C9">
      <w:pPr>
        <w:pStyle w:val="Para"/>
      </w:pPr>
      <w:r>
        <w:t>Le coût de la recherche s’est élevé à 59 931,81 $ (TVH incluse).</w:t>
      </w:r>
    </w:p>
    <w:p w:rsidR="005063C9" w:rsidRDefault="005063C9" w:rsidP="005063C9">
      <w:pPr>
        <w:pStyle w:val="Heading4"/>
      </w:pPr>
      <w:bookmarkStart w:id="62" w:name="_Toc510013460"/>
      <w:bookmarkStart w:id="63" w:name="_Toc517860323"/>
      <w:bookmarkStart w:id="64" w:name="_Toc518908340"/>
      <w:r>
        <w:t>Principales constatations</w:t>
      </w:r>
      <w:bookmarkEnd w:id="62"/>
      <w:bookmarkEnd w:id="63"/>
      <w:bookmarkEnd w:id="64"/>
    </w:p>
    <w:p w:rsidR="005063C9" w:rsidRPr="00F13774" w:rsidRDefault="005063C9" w:rsidP="005063C9">
      <w:pPr>
        <w:pStyle w:val="Para"/>
        <w:keepNext/>
        <w:keepLines/>
        <w:spacing w:line="260" w:lineRule="exact"/>
      </w:pPr>
      <w:r>
        <w:t>Il ressort principalement de la recherche que le degré de confiance des Canadiens dans la capacité de la Régie de faire son travail est bon, en particulier pour assurer la conformité des sociétés à la réglementation, améliorer la compétitivité à l’échelle mondiale, veiller à la sécurité publique et rendre des décisions fondées sur des preuves scientifiques. Les trois quarts croient que le terme « expert ou spécialiste » décrit au moins un peu la Régie.</w:t>
      </w:r>
    </w:p>
    <w:p w:rsidR="005063C9" w:rsidRPr="00F13774" w:rsidRDefault="005063C9" w:rsidP="005063C9">
      <w:pPr>
        <w:pStyle w:val="Para"/>
        <w:spacing w:line="260" w:lineRule="exact"/>
      </w:pPr>
      <w:r>
        <w:t>Les résultats indiquent aussi que la Régie de l’énergie du Canada ne vient pas tout de suite à l’esprit des Canadiens dans le contexte de la réglementation des lignes de transport d’électricité et pipelines transfrontaliers – pas plus qu’une autre organisation d’ailleurs. Une forte majorité de huit répondants sur dix ne peuvent pas nommer l’organisation responsable du mandat de la Régie. Quatre répondants sur dix reconnaissent le nom Régie de l’énergie du Canada lorsqu’ils l’entendent. L’ancien nom, Office national de l’énergie, est reconnu par environ la moitié des personnes qui n’ont pas entendu parler de la Régie. Six pour cent disent spontanément que l’Office est l’organisation qui a le mandat de la Régie.</w:t>
      </w:r>
    </w:p>
    <w:p w:rsidR="005063C9" w:rsidRPr="00F13774" w:rsidRDefault="005063C9" w:rsidP="005063C9">
      <w:pPr>
        <w:pStyle w:val="Para"/>
        <w:spacing w:line="260" w:lineRule="exact"/>
      </w:pPr>
      <w:r>
        <w:t>Une minorité de trois répondants sur dix ayant entendu parler de la Régie affirment connaître l’organisation, et une proportion similaire dit connaître chacune de ses fonctions précises. Cependant, on note un niveau raisonnable de personnes intéressées à en savoir plus. Environ trois quarts des répondants sont au moins modérément intéressés à en apprendre davantage sur la Régie elle-même. Approximativement six sur dix seraient modérément intéressés à en savoir plus sur ses fonctions.</w:t>
      </w:r>
    </w:p>
    <w:p w:rsidR="00614D85" w:rsidRDefault="005063C9" w:rsidP="00614D85">
      <w:pPr>
        <w:pStyle w:val="Para"/>
        <w:spacing w:line="260" w:lineRule="exact"/>
      </w:pPr>
      <w:r>
        <w:t xml:space="preserve">Le sondage a eu lieu dans une période au cours de laquelle des projets énergétiques faisaient la une des médias, notamment </w:t>
      </w:r>
      <w:r>
        <w:rPr>
          <w:rFonts w:asciiTheme="minorHAnsi" w:hAnsiTheme="minorHAnsi"/>
        </w:rPr>
        <w:t>pendant les manifestations anti-gazoduc de la Première Nation Wet’suwet’en</w:t>
      </w:r>
      <w:r>
        <w:t>. Six personnes sur dix ont dit avoir vu ou entendu récemment, surtout à la télévision, des informations sur des projets de pipeline ou de ligne de transport d’électricité existants ou envisagés. Elles avaient davantage tendance à croire que le gouvernement était la source de ces informations, suivi par les groupes environnementaux. Deux personnes sur dix croient que ce qu’elles ont entendu provenait de la Régie de l’énergie du Canada.</w:t>
      </w:r>
      <w:bookmarkStart w:id="65" w:name="_Toc4501910"/>
    </w:p>
    <w:p w:rsidR="005063C9" w:rsidRPr="004B0196" w:rsidRDefault="005063C9" w:rsidP="00614D85">
      <w:pPr>
        <w:pStyle w:val="Heading4"/>
      </w:pPr>
      <w:r>
        <w:lastRenderedPageBreak/>
        <w:t>Énoncé de neutralité politique et coordonnées</w:t>
      </w:r>
      <w:bookmarkEnd w:id="65"/>
    </w:p>
    <w:p w:rsidR="005063C9" w:rsidRPr="00FD5CD6" w:rsidRDefault="005063C9" w:rsidP="005063C9">
      <w:pPr>
        <w:pStyle w:val="Para"/>
        <w:keepNext/>
        <w:keepLines/>
        <w:spacing w:line="280" w:lineRule="exact"/>
      </w:pPr>
      <w:r>
        <w:t>Je soussigné, atteste par les présentes, en ma qualité de dirigeant d’Environics, que les livrables sont entièrement conformes aux exigences de neutralité politique énoncées dans la Politique de communication du gouvernement du Canada, et à la Procédure de planification et d’attribution de marchés de services de recherche sur l’opinion publique. Plus précisément, les livrables ne contiennent pas de renseignements sur les intentions de vote électoral, les préférences quant aux partis politiques, les positions des partis ou l’évaluation de la performance d’un parti politique ou de ses dirigeants.</w:t>
      </w:r>
    </w:p>
    <w:p w:rsidR="005063C9" w:rsidRDefault="005063C9" w:rsidP="005063C9">
      <w:pPr>
        <w:keepNext/>
        <w:keepLines/>
        <w:spacing w:before="240"/>
        <w:jc w:val="left"/>
        <w:rPr>
          <w:rFonts w:asciiTheme="minorHAnsi" w:hAnsiTheme="minorHAnsi"/>
          <w:sz w:val="22"/>
        </w:rPr>
      </w:pPr>
      <w:r>
        <w:rPr>
          <w:rFonts w:asciiTheme="minorHAnsi" w:hAnsiTheme="minorHAnsi"/>
          <w:noProof/>
          <w:sz w:val="22"/>
          <w:lang w:val="en-CA" w:eastAsia="en-CA"/>
        </w:rPr>
        <w:drawing>
          <wp:inline distT="0" distB="0" distL="0" distR="0" wp14:anchorId="4165E5AA" wp14:editId="7D287250">
            <wp:extent cx="1128713" cy="752475"/>
            <wp:effectExtent l="0" t="0" r="0" b="0"/>
            <wp:docPr id="7" name="Picture 7"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y signature.gif"/>
                    <pic:cNvPicPr/>
                  </pic:nvPicPr>
                  <pic:blipFill>
                    <a:blip r:embed="rId14">
                      <a:extLst>
                        <a:ext uri="{28A0092B-C50C-407E-A947-70E740481C1C}">
                          <a14:useLocalDpi xmlns:a14="http://schemas.microsoft.com/office/drawing/2010/main" val="0"/>
                        </a:ext>
                      </a:extLst>
                    </a:blip>
                    <a:stretch>
                      <a:fillRect/>
                    </a:stretch>
                  </pic:blipFill>
                  <pic:spPr>
                    <a:xfrm>
                      <a:off x="0" y="0"/>
                      <a:ext cx="1130838" cy="753891"/>
                    </a:xfrm>
                    <a:prstGeom prst="rect">
                      <a:avLst/>
                    </a:prstGeom>
                  </pic:spPr>
                </pic:pic>
              </a:graphicData>
            </a:graphic>
          </wp:inline>
        </w:drawing>
      </w:r>
    </w:p>
    <w:p w:rsidR="005063C9" w:rsidRPr="001F77D2" w:rsidRDefault="005063C9" w:rsidP="005063C9">
      <w:pPr>
        <w:keepNext/>
        <w:keepLines/>
        <w:spacing w:before="240"/>
        <w:jc w:val="left"/>
        <w:rPr>
          <w:rFonts w:asciiTheme="minorHAnsi" w:hAnsiTheme="minorHAnsi"/>
          <w:sz w:val="22"/>
        </w:rPr>
      </w:pPr>
      <w:r>
        <w:rPr>
          <w:rFonts w:asciiTheme="minorHAnsi" w:hAnsiTheme="minorHAnsi"/>
          <w:sz w:val="22"/>
        </w:rPr>
        <w:t>Tony Coulson</w:t>
      </w:r>
    </w:p>
    <w:p w:rsidR="005063C9" w:rsidRPr="001F77D2" w:rsidRDefault="005063C9" w:rsidP="005063C9">
      <w:pPr>
        <w:keepNext/>
        <w:keepLines/>
        <w:jc w:val="left"/>
        <w:rPr>
          <w:rFonts w:asciiTheme="minorHAnsi" w:hAnsiTheme="minorHAnsi"/>
          <w:sz w:val="22"/>
        </w:rPr>
      </w:pPr>
      <w:r>
        <w:rPr>
          <w:rFonts w:asciiTheme="minorHAnsi" w:hAnsiTheme="minorHAnsi"/>
          <w:sz w:val="22"/>
        </w:rPr>
        <w:t>Premier vice-président des affaires générales et publiques</w:t>
      </w:r>
    </w:p>
    <w:p w:rsidR="005063C9" w:rsidRPr="00BB2F57" w:rsidRDefault="005063C9" w:rsidP="005063C9">
      <w:pPr>
        <w:keepNext/>
        <w:keepLines/>
        <w:jc w:val="left"/>
        <w:rPr>
          <w:rFonts w:asciiTheme="minorHAnsi" w:hAnsiTheme="minorHAnsi"/>
          <w:sz w:val="22"/>
          <w:lang w:val="en-US"/>
        </w:rPr>
      </w:pPr>
      <w:r w:rsidRPr="00BB2F57">
        <w:rPr>
          <w:rFonts w:asciiTheme="minorHAnsi" w:hAnsiTheme="minorHAnsi"/>
          <w:sz w:val="22"/>
          <w:lang w:val="en-US"/>
        </w:rPr>
        <w:t>Environics Research Group</w:t>
      </w:r>
    </w:p>
    <w:p w:rsidR="005063C9" w:rsidRPr="00BB2F57" w:rsidRDefault="00D963D0" w:rsidP="005063C9">
      <w:pPr>
        <w:keepNext/>
        <w:keepLines/>
        <w:jc w:val="left"/>
        <w:rPr>
          <w:rFonts w:asciiTheme="minorHAnsi" w:hAnsiTheme="minorHAnsi"/>
          <w:sz w:val="22"/>
          <w:lang w:val="en-US"/>
        </w:rPr>
      </w:pPr>
      <w:hyperlink r:id="rId15" w:history="1">
        <w:r w:rsidR="005063C9" w:rsidRPr="00BB2F57">
          <w:rPr>
            <w:rStyle w:val="Hyperlink"/>
            <w:rFonts w:asciiTheme="minorHAnsi" w:hAnsiTheme="minorHAnsi"/>
            <w:sz w:val="22"/>
            <w:lang w:val="en-US"/>
          </w:rPr>
          <w:t>tony.coulson@environics.ca</w:t>
        </w:r>
      </w:hyperlink>
    </w:p>
    <w:p w:rsidR="005063C9" w:rsidRPr="001F77D2" w:rsidRDefault="005063C9" w:rsidP="005063C9">
      <w:pPr>
        <w:keepLines/>
        <w:jc w:val="left"/>
        <w:rPr>
          <w:rFonts w:asciiTheme="minorHAnsi" w:hAnsiTheme="minorHAnsi"/>
          <w:sz w:val="22"/>
        </w:rPr>
      </w:pPr>
      <w:r>
        <w:rPr>
          <w:rFonts w:asciiTheme="minorHAnsi" w:hAnsiTheme="minorHAnsi"/>
          <w:sz w:val="22"/>
        </w:rPr>
        <w:t>613-699-6882</w:t>
      </w:r>
    </w:p>
    <w:p w:rsidR="005063C9" w:rsidRPr="00475B2A" w:rsidRDefault="005063C9" w:rsidP="005063C9">
      <w:pPr>
        <w:pStyle w:val="Para"/>
        <w:keepNext/>
        <w:keepLines/>
        <w:spacing w:before="360" w:after="0" w:line="240" w:lineRule="auto"/>
      </w:pPr>
      <w:r>
        <w:rPr>
          <w:b/>
        </w:rPr>
        <w:t>Nom du fournisseur</w:t>
      </w:r>
      <w:r>
        <w:t> : Environics Research Group</w:t>
      </w:r>
    </w:p>
    <w:p w:rsidR="005063C9" w:rsidRPr="005A67BF" w:rsidRDefault="005063C9" w:rsidP="005063C9">
      <w:pPr>
        <w:pStyle w:val="Para"/>
        <w:keepNext/>
        <w:keepLines/>
        <w:spacing w:before="0" w:after="0" w:line="240" w:lineRule="auto"/>
      </w:pPr>
      <w:r>
        <w:t xml:space="preserve">Numéro de contrat de SPAC : </w:t>
      </w:r>
      <w:r>
        <w:rPr>
          <w:rFonts w:asciiTheme="minorHAnsi" w:hAnsiTheme="minorHAnsi"/>
        </w:rPr>
        <w:t>84084-190180/001/CY</w:t>
      </w:r>
    </w:p>
    <w:p w:rsidR="005063C9" w:rsidRDefault="005063C9" w:rsidP="005063C9">
      <w:pPr>
        <w:pStyle w:val="Para"/>
        <w:keepNext/>
        <w:keepLines/>
        <w:spacing w:before="0" w:after="0" w:line="240" w:lineRule="auto"/>
      </w:pPr>
      <w:r>
        <w:t>Date du marché original : 2020-01-07</w:t>
      </w:r>
    </w:p>
    <w:p w:rsidR="00A12737" w:rsidRDefault="005063C9" w:rsidP="00614D85">
      <w:pPr>
        <w:pStyle w:val="Para"/>
        <w:keepNext/>
        <w:keepLines/>
        <w:spacing w:before="0" w:after="0" w:line="240" w:lineRule="auto"/>
      </w:pPr>
      <w:bookmarkStart w:id="66" w:name="_GoBack"/>
      <w:bookmarkEnd w:id="66"/>
      <w:r>
        <w:t xml:space="preserve">Pour un complément d’information : </w:t>
      </w:r>
      <w:r>
        <w:rPr>
          <w:rStyle w:val="Hyperlink"/>
        </w:rPr>
        <w:t>Tom.Neufeld@cer-rec.gc.ca</w:t>
      </w:r>
    </w:p>
    <w:sectPr w:rsidR="00A1273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D0" w:rsidRDefault="00614D85">
      <w:r>
        <w:separator/>
      </w:r>
    </w:p>
  </w:endnote>
  <w:endnote w:type="continuationSeparator" w:id="0">
    <w:p w:rsidR="00B73DD0" w:rsidRDefault="0061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36" w:rsidRDefault="005063C9" w:rsidP="004459A6">
    <w:pPr>
      <w:pStyle w:val="Footer"/>
    </w:pPr>
    <w:r>
      <w:rPr>
        <w:noProof/>
        <w:lang w:val="en-CA" w:eastAsia="en-CA"/>
      </w:rPr>
      <mc:AlternateContent>
        <mc:Choice Requires="wps">
          <w:drawing>
            <wp:anchor distT="4294967291" distB="4294967291" distL="114300" distR="114300" simplePos="0" relativeHeight="251660288" behindDoc="0" locked="0" layoutInCell="0" allowOverlap="1" wp14:anchorId="04BACDFB" wp14:editId="0D7CB6EE">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BAE8"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WhNb1wBEZXa2VAcPasX86zpd4eUrlqiDjxSfL0YSMtCRvImJWycgQv2/WfNIIYcvY59&#10;Oje2C5DQAXSOclzucvCzRxQOZ8t8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" o:allowincell="f">
              <w10:wrap type="topAndBottom"/>
            </v:line>
          </w:pict>
        </mc:Fallback>
      </mc:AlternateContent>
    </w:r>
  </w:p>
  <w:p w:rsidR="00CC6236" w:rsidRDefault="00D963D0" w:rsidP="00445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36" w:rsidRDefault="00D963D0" w:rsidP="004459A6">
    <w:pPr>
      <w:pStyle w:val="Footer"/>
    </w:pPr>
  </w:p>
  <w:p w:rsidR="00CC6236" w:rsidRPr="0051508C" w:rsidRDefault="00D963D0" w:rsidP="004459A6">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36" w:rsidRPr="00134A71" w:rsidRDefault="005063C9" w:rsidP="00134A71">
    <w:pPr>
      <w:pStyle w:val="Footer"/>
    </w:pPr>
    <w:r>
      <w:rPr>
        <w:noProof/>
        <w:lang w:val="en-CA" w:eastAsia="en-CA"/>
      </w:rPr>
      <mc:AlternateContent>
        <mc:Choice Requires="wps">
          <w:drawing>
            <wp:inline distT="0" distB="0" distL="0" distR="0" wp14:anchorId="04828A67" wp14:editId="1F043EE7">
              <wp:extent cx="6438900" cy="180975"/>
              <wp:effectExtent l="0" t="0" r="0" b="0"/>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195234D7"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OGcQIAAOg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Q2Cjhn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36" w:rsidRPr="00134A71" w:rsidRDefault="005063C9" w:rsidP="00134A71">
    <w:pPr>
      <w:pStyle w:val="Footer"/>
    </w:pPr>
    <w:r>
      <w:rPr>
        <w:noProof/>
        <w:lang w:val="en-CA" w:eastAsia="en-CA"/>
      </w:rPr>
      <mc:AlternateContent>
        <mc:Choice Requires="wps">
          <w:drawing>
            <wp:anchor distT="0" distB="0" distL="114300" distR="114300" simplePos="0" relativeHeight="251661312" behindDoc="0" locked="0" layoutInCell="1" allowOverlap="1" wp14:anchorId="00EDE137" wp14:editId="40E59E6C">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36" w:rsidRPr="00892888" w:rsidRDefault="005063C9"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963D0">
                            <w:rPr>
                              <w:rFonts w:ascii="Calibri" w:hAnsi="Calibri" w:cs="Calibri"/>
                              <w:b/>
                              <w:noProof/>
                              <w:color w:val="FFFFFF"/>
                              <w:sz w:val="20"/>
                            </w:rPr>
                            <w:t>3</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DE137" id="_x0000_t202" coordsize="21600,21600" o:spt="202" path="m,l,21600r21600,l21600,xe">
              <v:stroke joinstyle="miter"/>
              <v:path gradientshapeok="t" o:connecttype="rect"/>
            </v:shapetype>
            <v:shape id="Text Box 29" o:spid="_x0000_s1026" type="#_x0000_t202" style="position:absolute;left:0;text-align:left;margin-left:476.1pt;margin-top:-1.85pt;width:30.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Wp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" filled="f" stroked="f">
              <v:textbox>
                <w:txbxContent>
                  <w:p w:rsidR="00CC6236" w:rsidRPr="00892888" w:rsidRDefault="005063C9"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963D0">
                      <w:rPr>
                        <w:rFonts w:ascii="Calibri" w:hAnsi="Calibri" w:cs="Calibri"/>
                        <w:b/>
                        <w:noProof/>
                        <w:color w:val="FFFFFF"/>
                        <w:sz w:val="20"/>
                      </w:rPr>
                      <w:t>3</w:t>
                    </w:r>
                    <w:r w:rsidRPr="00892888">
                      <w:rPr>
                        <w:rFonts w:ascii="Calibri" w:hAnsi="Calibri" w:cs="Calibri"/>
                        <w:b/>
                        <w:color w:val="FFFFFF"/>
                        <w:sz w:val="20"/>
                      </w:rPr>
                      <w:fldChar w:fldCharType="end"/>
                    </w:r>
                  </w:p>
                </w:txbxContent>
              </v:textbox>
            </v:shape>
          </w:pict>
        </mc:Fallback>
      </mc:AlternateContent>
    </w:r>
    <w:r>
      <w:rPr>
        <w:noProof/>
        <w:lang w:val="en-CA" w:eastAsia="en-CA"/>
      </w:rPr>
      <mc:AlternateContent>
        <mc:Choice Requires="wps">
          <w:drawing>
            <wp:inline distT="0" distB="0" distL="0" distR="0" wp14:anchorId="43FB6BDA" wp14:editId="1F656E9A">
              <wp:extent cx="6438900" cy="180975"/>
              <wp:effectExtent l="0" t="0" r="0" b="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5AC49B6"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EpBLbn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D0" w:rsidRDefault="00614D85">
      <w:r>
        <w:separator/>
      </w:r>
    </w:p>
  </w:footnote>
  <w:footnote w:type="continuationSeparator" w:id="0">
    <w:p w:rsidR="00B73DD0" w:rsidRDefault="0061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36" w:rsidRDefault="005063C9"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CC6236" w:rsidRDefault="005063C9" w:rsidP="004459A6">
    <w:pPr>
      <w:pStyle w:val="Header"/>
    </w:pPr>
    <w:r>
      <w:t xml:space="preserve"> Environnement Canada – Sondage d’opinion publique 2003 sur les Grands Lacs – Questionnaire final</w:t>
    </w:r>
  </w:p>
  <w:p w:rsidR="00CC6236" w:rsidRDefault="005063C9" w:rsidP="004459A6">
    <w:pPr>
      <w:pStyle w:val="Header"/>
    </w:pPr>
    <w:r>
      <w:rPr>
        <w:noProof/>
        <w:lang w:val="en-CA" w:eastAsia="en-CA"/>
      </w:rPr>
      <mc:AlternateContent>
        <mc:Choice Requires="wps">
          <w:drawing>
            <wp:anchor distT="4294967291" distB="4294967291" distL="114300" distR="114300" simplePos="0" relativeHeight="251659264" behindDoc="0" locked="0" layoutInCell="0" allowOverlap="1" wp14:anchorId="348B3E6A" wp14:editId="5CE628D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6478"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wR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OU97BEU&#10;AgAAKQQAAA4AAAAAAAAAAAAAAAAALgIAAGRycy9lMm9Eb2MueG1sUEsBAi0AFAAGAAgAAAAhACaB&#10;FBzZAAAABAEAAA8AAAAAAAAAAAAAAAAAbgQAAGRycy9kb3ducmV2LnhtbFBLBQYAAAAABAAEAPMA&#10;AAB0BQ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36" w:rsidRPr="00095090" w:rsidRDefault="005063C9" w:rsidP="009C6B80">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b/>
        <w:color w:val="4E2584"/>
        <w:sz w:val="22"/>
        <w:szCs w:val="22"/>
      </w:rPr>
      <w:t>Régie de l’énergie du Canada</w:t>
    </w:r>
    <w:r>
      <w:rPr>
        <w:rFonts w:asciiTheme="minorHAnsi" w:hAnsiTheme="minorHAnsi"/>
        <w:b/>
        <w:bCs/>
        <w:color w:val="7030A0"/>
        <w:sz w:val="22"/>
        <w:szCs w:val="22"/>
      </w:rPr>
      <w:tab/>
    </w:r>
    <w:r>
      <w:rPr>
        <w:rFonts w:asciiTheme="minorHAnsi" w:hAnsiTheme="minorHAnsi"/>
        <w:b/>
        <w:sz w:val="22"/>
        <w:szCs w:val="22"/>
      </w:rPr>
      <w:t>Mesures de recherche annuelle sur l’opinion publique de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36" w:rsidRPr="00095090" w:rsidRDefault="005063C9" w:rsidP="008F4AF7">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b/>
        <w:color w:val="4E2584"/>
        <w:sz w:val="22"/>
        <w:szCs w:val="22"/>
      </w:rPr>
      <w:t>Régie de l’énergie du Canada</w:t>
    </w:r>
    <w:r>
      <w:rPr>
        <w:rFonts w:asciiTheme="minorHAnsi" w:hAnsiTheme="minorHAnsi"/>
        <w:b/>
        <w:bCs/>
        <w:color w:val="7030A0"/>
        <w:sz w:val="22"/>
        <w:szCs w:val="22"/>
      </w:rPr>
      <w:tab/>
    </w:r>
    <w:r>
      <w:rPr>
        <w:rFonts w:asciiTheme="minorHAnsi" w:hAnsiTheme="minorHAnsi"/>
        <w:b/>
        <w:sz w:val="22"/>
        <w:szCs w:val="22"/>
      </w:rPr>
      <w:t>Mesures de recherche annuelle sur l’opinion publique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637A5"/>
    <w:multiLevelType w:val="hybridMultilevel"/>
    <w:tmpl w:val="C98A5410"/>
    <w:lvl w:ilvl="0" w:tplc="079084D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C9"/>
    <w:rsid w:val="005063C9"/>
    <w:rsid w:val="00614D85"/>
    <w:rsid w:val="00A12737"/>
    <w:rsid w:val="00B73DD0"/>
    <w:rsid w:val="00D9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175B-0238-4D62-ADEB-0FC36AC4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63C9"/>
    <w:pPr>
      <w:spacing w:after="0" w:line="240" w:lineRule="auto"/>
      <w:jc w:val="center"/>
    </w:pPr>
    <w:rPr>
      <w:rFonts w:ascii="Times New Roman" w:eastAsia="Times New Roman" w:hAnsi="Times New Roman" w:cs="Times New Roman"/>
      <w:sz w:val="26"/>
      <w:szCs w:val="20"/>
      <w:lang w:val="fr-CA"/>
    </w:rPr>
  </w:style>
  <w:style w:type="paragraph" w:styleId="Heading1">
    <w:name w:val="heading 1"/>
    <w:aliases w:val="heading 1"/>
    <w:basedOn w:val="Normal"/>
    <w:next w:val="Normal"/>
    <w:link w:val="Heading1Char"/>
    <w:qFormat/>
    <w:rsid w:val="005063C9"/>
    <w:pPr>
      <w:keepNext/>
      <w:spacing w:before="360" w:after="120" w:line="320" w:lineRule="exact"/>
      <w:ind w:left="634" w:hanging="634"/>
      <w:jc w:val="left"/>
      <w:outlineLvl w:val="0"/>
    </w:pPr>
    <w:rPr>
      <w:rFonts w:ascii="Calibri" w:hAnsi="Calibri" w:cs="Calibri"/>
      <w:b/>
      <w:color w:val="7030A0"/>
      <w:sz w:val="36"/>
      <w:szCs w:val="36"/>
    </w:rPr>
  </w:style>
  <w:style w:type="paragraph" w:styleId="Heading3">
    <w:name w:val="heading 3"/>
    <w:basedOn w:val="Normal"/>
    <w:next w:val="Para"/>
    <w:link w:val="Heading3Char"/>
    <w:qFormat/>
    <w:rsid w:val="005063C9"/>
    <w:pPr>
      <w:keepNext/>
      <w:keepLines/>
      <w:numPr>
        <w:numId w:val="1"/>
      </w:numPr>
      <w:spacing w:before="280" w:after="120" w:line="320" w:lineRule="exact"/>
      <w:jc w:val="left"/>
      <w:outlineLvl w:val="2"/>
    </w:pPr>
    <w:rPr>
      <w:rFonts w:ascii="Calibri" w:hAnsi="Calibri" w:cs="Calibri"/>
      <w:b/>
      <w:color w:val="000000"/>
      <w:szCs w:val="26"/>
    </w:rPr>
  </w:style>
  <w:style w:type="paragraph" w:styleId="Heading4">
    <w:name w:val="heading 4"/>
    <w:basedOn w:val="Heading3"/>
    <w:next w:val="Normal"/>
    <w:link w:val="Heading4Char"/>
    <w:qFormat/>
    <w:rsid w:val="005063C9"/>
    <w:pPr>
      <w:ind w:hanging="72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5063C9"/>
    <w:rPr>
      <w:rFonts w:ascii="Calibri" w:eastAsia="Times New Roman" w:hAnsi="Calibri" w:cs="Calibri"/>
      <w:b/>
      <w:color w:val="7030A0"/>
      <w:sz w:val="36"/>
      <w:szCs w:val="36"/>
      <w:lang w:val="fr-CA"/>
    </w:rPr>
  </w:style>
  <w:style w:type="character" w:customStyle="1" w:styleId="Heading3Char">
    <w:name w:val="Heading 3 Char"/>
    <w:basedOn w:val="DefaultParagraphFont"/>
    <w:link w:val="Heading3"/>
    <w:rsid w:val="005063C9"/>
    <w:rPr>
      <w:rFonts w:ascii="Calibri" w:eastAsia="Times New Roman" w:hAnsi="Calibri" w:cs="Calibri"/>
      <w:b/>
      <w:color w:val="000000"/>
      <w:sz w:val="26"/>
      <w:szCs w:val="26"/>
      <w:lang w:val="fr-CA"/>
    </w:rPr>
  </w:style>
  <w:style w:type="character" w:customStyle="1" w:styleId="Heading4Char">
    <w:name w:val="Heading 4 Char"/>
    <w:basedOn w:val="DefaultParagraphFont"/>
    <w:link w:val="Heading4"/>
    <w:rsid w:val="005063C9"/>
    <w:rPr>
      <w:rFonts w:ascii="Calibri" w:eastAsia="Times New Roman" w:hAnsi="Calibri" w:cs="Calibri"/>
      <w:b/>
      <w:color w:val="000000"/>
      <w:lang w:val="fr-CA"/>
    </w:rPr>
  </w:style>
  <w:style w:type="paragraph" w:styleId="Footer">
    <w:name w:val="footer"/>
    <w:basedOn w:val="Normal"/>
    <w:link w:val="FooterChar"/>
    <w:uiPriority w:val="99"/>
    <w:rsid w:val="005063C9"/>
    <w:pPr>
      <w:tabs>
        <w:tab w:val="center" w:pos="4320"/>
        <w:tab w:val="right" w:pos="8640"/>
      </w:tabs>
    </w:pPr>
  </w:style>
  <w:style w:type="character" w:customStyle="1" w:styleId="FooterChar">
    <w:name w:val="Footer Char"/>
    <w:basedOn w:val="DefaultParagraphFont"/>
    <w:link w:val="Footer"/>
    <w:uiPriority w:val="99"/>
    <w:rsid w:val="005063C9"/>
    <w:rPr>
      <w:rFonts w:ascii="Times New Roman" w:eastAsia="Times New Roman" w:hAnsi="Times New Roman" w:cs="Times New Roman"/>
      <w:sz w:val="26"/>
      <w:szCs w:val="20"/>
      <w:lang w:val="fr-CA"/>
    </w:rPr>
  </w:style>
  <w:style w:type="character" w:styleId="PageNumber">
    <w:name w:val="page number"/>
    <w:basedOn w:val="DefaultParagraphFont"/>
    <w:rsid w:val="005063C9"/>
  </w:style>
  <w:style w:type="paragraph" w:styleId="Header">
    <w:name w:val="header"/>
    <w:basedOn w:val="Normal"/>
    <w:link w:val="HeaderChar"/>
    <w:uiPriority w:val="99"/>
    <w:rsid w:val="005063C9"/>
    <w:pPr>
      <w:tabs>
        <w:tab w:val="center" w:pos="4320"/>
        <w:tab w:val="right" w:pos="8640"/>
      </w:tabs>
    </w:pPr>
  </w:style>
  <w:style w:type="character" w:customStyle="1" w:styleId="HeaderChar">
    <w:name w:val="Header Char"/>
    <w:basedOn w:val="DefaultParagraphFont"/>
    <w:link w:val="Header"/>
    <w:uiPriority w:val="99"/>
    <w:rsid w:val="005063C9"/>
    <w:rPr>
      <w:rFonts w:ascii="Times New Roman" w:eastAsia="Times New Roman" w:hAnsi="Times New Roman" w:cs="Times New Roman"/>
      <w:sz w:val="26"/>
      <w:szCs w:val="20"/>
      <w:lang w:val="fr-CA"/>
    </w:rPr>
  </w:style>
  <w:style w:type="character" w:styleId="Hyperlink">
    <w:name w:val="Hyperlink"/>
    <w:uiPriority w:val="99"/>
    <w:rsid w:val="005063C9"/>
    <w:rPr>
      <w:color w:val="0000FF"/>
      <w:u w:val="single"/>
    </w:rPr>
  </w:style>
  <w:style w:type="paragraph" w:customStyle="1" w:styleId="Para">
    <w:name w:val="Para"/>
    <w:basedOn w:val="Normal"/>
    <w:link w:val="ParaChar"/>
    <w:qFormat/>
    <w:rsid w:val="005063C9"/>
    <w:pPr>
      <w:suppressAutoHyphens/>
      <w:spacing w:before="80" w:after="80" w:line="300" w:lineRule="exact"/>
      <w:jc w:val="left"/>
    </w:pPr>
    <w:rPr>
      <w:rFonts w:ascii="Calibri" w:hAnsi="Calibri" w:cs="Calibri"/>
      <w:bCs/>
      <w:sz w:val="22"/>
      <w:szCs w:val="22"/>
    </w:rPr>
  </w:style>
  <w:style w:type="paragraph" w:styleId="TOC1">
    <w:name w:val="toc 1"/>
    <w:basedOn w:val="Normal"/>
    <w:next w:val="Normal"/>
    <w:autoRedefine/>
    <w:uiPriority w:val="39"/>
    <w:rsid w:val="005063C9"/>
    <w:pPr>
      <w:tabs>
        <w:tab w:val="left" w:pos="360"/>
        <w:tab w:val="right" w:leader="dot" w:pos="9350"/>
      </w:tabs>
      <w:spacing w:before="60" w:after="60"/>
      <w:jc w:val="left"/>
    </w:pPr>
    <w:rPr>
      <w:rFonts w:ascii="Calibri" w:hAnsi="Calibri"/>
      <w:b/>
      <w:bCs/>
      <w:noProof/>
      <w:sz w:val="22"/>
      <w:szCs w:val="22"/>
    </w:rPr>
  </w:style>
  <w:style w:type="paragraph" w:styleId="TOC2">
    <w:name w:val="toc 2"/>
    <w:basedOn w:val="Normal"/>
    <w:next w:val="Normal"/>
    <w:autoRedefine/>
    <w:uiPriority w:val="39"/>
    <w:rsid w:val="005063C9"/>
    <w:pPr>
      <w:tabs>
        <w:tab w:val="left" w:pos="360"/>
        <w:tab w:val="right" w:leader="dot" w:pos="9350"/>
      </w:tabs>
      <w:spacing w:before="40" w:after="40" w:line="240" w:lineRule="exact"/>
      <w:ind w:left="360" w:hanging="360"/>
      <w:jc w:val="left"/>
    </w:pPr>
    <w:rPr>
      <w:rFonts w:ascii="Calibri" w:hAnsi="Calibri"/>
      <w:noProof/>
      <w:sz w:val="20"/>
    </w:rPr>
  </w:style>
  <w:style w:type="paragraph" w:styleId="TOC3">
    <w:name w:val="toc 3"/>
    <w:basedOn w:val="Normal"/>
    <w:next w:val="Normal"/>
    <w:autoRedefine/>
    <w:uiPriority w:val="39"/>
    <w:rsid w:val="005063C9"/>
    <w:pPr>
      <w:tabs>
        <w:tab w:val="left" w:pos="720"/>
        <w:tab w:val="right" w:leader="dot" w:pos="9350"/>
      </w:tabs>
      <w:spacing w:before="40" w:after="40"/>
      <w:ind w:left="720" w:hanging="360"/>
      <w:jc w:val="left"/>
    </w:pPr>
    <w:rPr>
      <w:rFonts w:ascii="Calibri" w:hAnsi="Calibri"/>
      <w:iCs/>
      <w:noProof/>
      <w:sz w:val="20"/>
    </w:rPr>
  </w:style>
  <w:style w:type="character" w:customStyle="1" w:styleId="ParaChar">
    <w:name w:val="Para Char"/>
    <w:link w:val="Para"/>
    <w:rsid w:val="005063C9"/>
    <w:rPr>
      <w:rFonts w:ascii="Calibri" w:eastAsia="Times New Roman" w:hAnsi="Calibri" w:cs="Calibri"/>
      <w:bCs/>
      <w:lang w:val="fr-CA"/>
    </w:rPr>
  </w:style>
  <w:style w:type="table" w:customStyle="1" w:styleId="TableGridLight1">
    <w:name w:val="Table Grid Light1"/>
    <w:basedOn w:val="TableNormal"/>
    <w:uiPriority w:val="40"/>
    <w:rsid w:val="005063C9"/>
    <w:pPr>
      <w:spacing w:after="0" w:line="240" w:lineRule="auto"/>
    </w:pPr>
    <w:rPr>
      <w:rFonts w:ascii="Times New Roman" w:eastAsia="Times New Roman" w:hAnsi="Times New Roman" w:cs="Times New Roman"/>
      <w:sz w:val="20"/>
      <w:szCs w:val="20"/>
      <w:lang w:val="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063C9"/>
  </w:style>
  <w:style w:type="character" w:customStyle="1" w:styleId="eop">
    <w:name w:val="eop"/>
    <w:basedOn w:val="DefaultParagraphFont"/>
    <w:rsid w:val="0050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ony.coulson@environics.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National Energy Board</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Kiley</dc:creator>
  <cp:keywords/>
  <dc:description/>
  <cp:lastModifiedBy>Sarah Kiley</cp:lastModifiedBy>
  <cp:revision>2</cp:revision>
  <dcterms:created xsi:type="dcterms:W3CDTF">2020-08-12T21:10:00Z</dcterms:created>
  <dcterms:modified xsi:type="dcterms:W3CDTF">2020-08-12T21:10:00Z</dcterms:modified>
</cp:coreProperties>
</file>