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rPr>
          <w:lang w:val="fr-CA"/>
        </w:rPr>
      </w:sdtEndPr>
      <w:sdtContent>
        <w:bookmarkStart w:id="0" w:name="_GoBack" w:displacedByCustomXml="prev"/>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6A82BC1C">
                <wp:simplePos x="0" y="0"/>
                <wp:positionH relativeFrom="margin">
                  <wp:align>left</wp:align>
                </wp:positionH>
                <wp:positionV relativeFrom="paragraph">
                  <wp:posOffset>-457155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C5F77D" w14:textId="77777777" w:rsidR="002925A3" w:rsidRDefault="002925A3" w:rsidP="002925A3">
          <w:pPr>
            <w:spacing w:after="0"/>
          </w:pPr>
        </w:p>
        <w:p w14:paraId="58252F8E" w14:textId="77777777" w:rsidR="002925A3" w:rsidRDefault="002925A3" w:rsidP="002925A3">
          <w:pPr>
            <w:spacing w:after="0"/>
          </w:pPr>
        </w:p>
        <w:p w14:paraId="259E5279" w14:textId="77777777" w:rsidR="002925A3" w:rsidRDefault="002925A3" w:rsidP="002925A3">
          <w:pPr>
            <w:spacing w:after="0"/>
          </w:pPr>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13502D5E" w14:textId="4165BD29" w:rsidR="00753F2E" w:rsidRPr="00B74B72" w:rsidRDefault="00753F2E" w:rsidP="00753F2E">
          <w:pPr>
            <w:spacing w:after="0"/>
            <w:ind w:right="1872"/>
            <w:rPr>
              <w:rFonts w:ascii="Segoe UI Light" w:hAnsi="Segoe UI Light" w:cs="Segoe UI Light"/>
              <w:sz w:val="52"/>
              <w:lang w:val="fr-CA"/>
            </w:rPr>
          </w:pPr>
          <w:r w:rsidRPr="00B74B72">
            <w:rPr>
              <w:rFonts w:ascii="Segoe UI Light" w:hAnsi="Segoe UI Light" w:cs="Segoe UI Light"/>
              <w:sz w:val="52"/>
              <w:lang w:val="fr-CA"/>
            </w:rPr>
            <w:t xml:space="preserve">Collecte continue de données qualitatives sur les opinions des Canadiens </w:t>
          </w:r>
          <w:r w:rsidR="00FC3785">
            <w:rPr>
              <w:rFonts w:ascii="Segoe UI Light" w:hAnsi="Segoe UI Light" w:cs="Segoe UI Light"/>
              <w:sz w:val="52"/>
              <w:lang w:val="fr-CA"/>
            </w:rPr>
            <w:t>—</w:t>
          </w:r>
          <w:r w:rsidRPr="00B74B72">
            <w:rPr>
              <w:rFonts w:ascii="Segoe UI Light" w:hAnsi="Segoe UI Light" w:cs="Segoe UI Light"/>
              <w:sz w:val="52"/>
              <w:lang w:val="fr-CA"/>
            </w:rPr>
            <w:t xml:space="preserve"> Août 2019</w:t>
          </w:r>
        </w:p>
        <w:p w14:paraId="05E927B9" w14:textId="77777777" w:rsidR="00753F2E" w:rsidRPr="00B74B72" w:rsidRDefault="00753F2E" w:rsidP="00753F2E">
          <w:pPr>
            <w:spacing w:after="0"/>
            <w:rPr>
              <w:sz w:val="28"/>
              <w:lang w:val="fr-CA"/>
            </w:rPr>
          </w:pPr>
        </w:p>
        <w:p w14:paraId="676356CE" w14:textId="35B9D6F7" w:rsidR="002925A3" w:rsidRPr="00B74B72" w:rsidRDefault="00220592" w:rsidP="00753F2E">
          <w:pPr>
            <w:rPr>
              <w:sz w:val="28"/>
              <w:lang w:val="fr-CA"/>
            </w:rPr>
          </w:pPr>
          <w:r>
            <w:rPr>
              <w:sz w:val="28"/>
              <w:lang w:val="fr-CA"/>
            </w:rPr>
            <w:t>Sommaire</w:t>
          </w:r>
        </w:p>
        <w:p w14:paraId="11A781E5" w14:textId="77777777" w:rsidR="002925A3" w:rsidRPr="00B74B72" w:rsidRDefault="002925A3" w:rsidP="002925A3">
          <w:pPr>
            <w:spacing w:after="0"/>
            <w:rPr>
              <w:lang w:val="fr-CA"/>
            </w:rPr>
          </w:pPr>
        </w:p>
        <w:p w14:paraId="739CC863" w14:textId="77777777" w:rsidR="008B475A" w:rsidRPr="00B74B72" w:rsidRDefault="008B475A" w:rsidP="002925A3">
          <w:pPr>
            <w:spacing w:after="0"/>
            <w:rPr>
              <w:lang w:val="fr-CA"/>
            </w:rPr>
          </w:pPr>
        </w:p>
        <w:p w14:paraId="50DDCA29" w14:textId="77777777" w:rsidR="008B475A" w:rsidRPr="00B74B72" w:rsidRDefault="008B475A" w:rsidP="002925A3">
          <w:pPr>
            <w:spacing w:after="0"/>
            <w:rPr>
              <w:lang w:val="fr-CA"/>
            </w:rPr>
          </w:pPr>
        </w:p>
        <w:p w14:paraId="67A17509" w14:textId="77777777" w:rsidR="008B475A" w:rsidRPr="00B74B72" w:rsidRDefault="008B475A" w:rsidP="002925A3">
          <w:pPr>
            <w:spacing w:after="0"/>
            <w:rPr>
              <w:lang w:val="fr-CA"/>
            </w:rPr>
          </w:pPr>
        </w:p>
        <w:p w14:paraId="3813DAEC" w14:textId="77777777" w:rsidR="008B475A" w:rsidRPr="00B74B72" w:rsidRDefault="008B475A" w:rsidP="002925A3">
          <w:pPr>
            <w:spacing w:after="0"/>
            <w:rPr>
              <w:lang w:val="fr-CA"/>
            </w:rPr>
          </w:pPr>
        </w:p>
        <w:p w14:paraId="622EF8BE" w14:textId="77777777" w:rsidR="002925A3" w:rsidRPr="00B74B72" w:rsidRDefault="002925A3" w:rsidP="002925A3">
          <w:pPr>
            <w:spacing w:after="0"/>
            <w:rPr>
              <w:lang w:val="fr-CA"/>
            </w:rPr>
          </w:pPr>
        </w:p>
        <w:p w14:paraId="6060B7E3" w14:textId="77777777" w:rsidR="00753F2E" w:rsidRPr="00B74B72" w:rsidRDefault="00753F2E" w:rsidP="00753F2E">
          <w:pPr>
            <w:spacing w:after="0"/>
            <w:rPr>
              <w:b/>
              <w:sz w:val="22"/>
              <w:lang w:val="fr-CA"/>
            </w:rPr>
          </w:pPr>
          <w:r w:rsidRPr="00B74B72">
            <w:rPr>
              <w:b/>
              <w:sz w:val="22"/>
              <w:lang w:val="fr-CA"/>
            </w:rPr>
            <w:t>Rédigé pour le compte du Bureau du Conseil privé</w:t>
          </w:r>
        </w:p>
        <w:p w14:paraId="797B5E19" w14:textId="77777777" w:rsidR="00753F2E" w:rsidRPr="00B74B72" w:rsidRDefault="00753F2E" w:rsidP="00753F2E">
          <w:pPr>
            <w:spacing w:after="0"/>
            <w:rPr>
              <w:lang w:val="fr-CA"/>
            </w:rPr>
          </w:pPr>
          <w:r w:rsidRPr="00B74B72">
            <w:rPr>
              <w:lang w:val="fr-CA"/>
            </w:rPr>
            <w:t>Fournisseur : The Strategic Counsel</w:t>
          </w:r>
        </w:p>
        <w:p w14:paraId="0CD5CEBC" w14:textId="77777777" w:rsidR="00753F2E" w:rsidRPr="00B74B72" w:rsidRDefault="00753F2E" w:rsidP="00753F2E">
          <w:pPr>
            <w:spacing w:after="0"/>
            <w:rPr>
              <w:lang w:val="fr-CA"/>
            </w:rPr>
          </w:pPr>
          <w:r w:rsidRPr="00B74B72">
            <w:rPr>
              <w:lang w:val="fr-CA"/>
            </w:rPr>
            <w:t>Numéro de contrat : 35035-182346/001/CY</w:t>
          </w:r>
        </w:p>
        <w:p w14:paraId="0168BA46" w14:textId="26EF11DF" w:rsidR="00753F2E" w:rsidRPr="00B74B72" w:rsidRDefault="0025629E" w:rsidP="00753F2E">
          <w:pPr>
            <w:spacing w:after="0"/>
            <w:rPr>
              <w:lang w:val="fr-CA"/>
            </w:rPr>
          </w:pPr>
          <w:r>
            <w:rPr>
              <w:lang w:val="fr-CA"/>
            </w:rPr>
            <w:t>Valeur du contrat :</w:t>
          </w:r>
          <w:r w:rsidR="00753F2E" w:rsidRPr="00B74B72">
            <w:rPr>
              <w:lang w:val="fr-CA"/>
            </w:rPr>
            <w:t xml:space="preserve"> 808</w:t>
          </w:r>
          <w:r w:rsidR="001F684A">
            <w:rPr>
              <w:lang w:val="fr-CA"/>
            </w:rPr>
            <w:t> </w:t>
          </w:r>
          <w:r w:rsidR="00753F2E" w:rsidRPr="00B74B72">
            <w:rPr>
              <w:lang w:val="fr-CA"/>
            </w:rPr>
            <w:t>684,50 $</w:t>
          </w:r>
        </w:p>
        <w:p w14:paraId="29BEB6D8" w14:textId="23AED586" w:rsidR="00753F2E" w:rsidRPr="00B74B72" w:rsidRDefault="0025629E" w:rsidP="00753F2E">
          <w:pPr>
            <w:spacing w:after="0"/>
            <w:rPr>
              <w:lang w:val="fr-CA"/>
            </w:rPr>
          </w:pPr>
          <w:r>
            <w:rPr>
              <w:lang w:val="fr-CA"/>
            </w:rPr>
            <w:t>Date d’octroi</w:t>
          </w:r>
          <w:r w:rsidR="00753F2E" w:rsidRPr="00B74B72">
            <w:rPr>
              <w:lang w:val="fr-CA"/>
            </w:rPr>
            <w:t xml:space="preserve"> du contrat : 27 juin 2019</w:t>
          </w:r>
        </w:p>
        <w:p w14:paraId="147944C7" w14:textId="77777777" w:rsidR="00753F2E" w:rsidRPr="00B74B72" w:rsidRDefault="00753F2E" w:rsidP="00753F2E">
          <w:pPr>
            <w:spacing w:after="0"/>
            <w:rPr>
              <w:lang w:val="fr-CA"/>
            </w:rPr>
          </w:pPr>
          <w:r w:rsidRPr="00B74B72">
            <w:rPr>
              <w:lang w:val="fr-CA"/>
            </w:rPr>
            <w:t>Date de livraison : 30 août 2019</w:t>
          </w:r>
        </w:p>
        <w:p w14:paraId="0B505023" w14:textId="77777777" w:rsidR="00753F2E" w:rsidRPr="00B74B72" w:rsidRDefault="00753F2E" w:rsidP="00753F2E">
          <w:pPr>
            <w:spacing w:after="0"/>
            <w:rPr>
              <w:lang w:val="fr-CA"/>
            </w:rPr>
          </w:pPr>
        </w:p>
        <w:p w14:paraId="231F15A3" w14:textId="77777777" w:rsidR="00753F2E" w:rsidRPr="00B74B72" w:rsidRDefault="00753F2E" w:rsidP="00753F2E">
          <w:pPr>
            <w:spacing w:after="0"/>
            <w:rPr>
              <w:lang w:val="fr-CA"/>
            </w:rPr>
          </w:pPr>
          <w:r w:rsidRPr="00B74B72">
            <w:rPr>
              <w:lang w:val="fr-CA"/>
            </w:rPr>
            <w:t>Numéro d’enregistrement : POR-005-19</w:t>
          </w:r>
        </w:p>
        <w:p w14:paraId="7A8DD1E9" w14:textId="77777777" w:rsidR="00753F2E" w:rsidRPr="00B74B72" w:rsidRDefault="00753F2E" w:rsidP="00753F2E">
          <w:pPr>
            <w:spacing w:after="0"/>
            <w:rPr>
              <w:lang w:val="fr-CA"/>
            </w:rPr>
          </w:pPr>
          <w:r w:rsidRPr="00B74B72">
            <w:rPr>
              <w:lang w:val="fr-CA"/>
            </w:rPr>
            <w:t xml:space="preserve">Pour de plus amples renseignements sur ce rapport, prière d’écrire à </w:t>
          </w:r>
          <w:hyperlink r:id="rId8" w:history="1">
            <w:r w:rsidRPr="00B74B72">
              <w:rPr>
                <w:rStyle w:val="Hyperlink"/>
                <w:lang w:val="fr-CA"/>
              </w:rPr>
              <w:t>por-rop@pco-bcp.ca</w:t>
            </w:r>
          </w:hyperlink>
        </w:p>
        <w:p w14:paraId="2DBAC8FA" w14:textId="77777777" w:rsidR="00753F2E" w:rsidRPr="00B74B72" w:rsidRDefault="00753F2E" w:rsidP="00753F2E">
          <w:pPr>
            <w:spacing w:after="0"/>
            <w:rPr>
              <w:lang w:val="fr-CA"/>
            </w:rPr>
          </w:pPr>
        </w:p>
        <w:p w14:paraId="71BCDB49" w14:textId="77777777" w:rsidR="00753F2E" w:rsidRPr="00B74B72" w:rsidRDefault="00753F2E" w:rsidP="00753F2E">
          <w:pPr>
            <w:spacing w:after="0"/>
            <w:rPr>
              <w:lang w:val="fr-CA"/>
            </w:rPr>
          </w:pPr>
        </w:p>
        <w:p w14:paraId="75356FC2" w14:textId="77777777" w:rsidR="00753F2E" w:rsidRPr="00B74B72" w:rsidRDefault="00753F2E" w:rsidP="00753F2E">
          <w:pPr>
            <w:spacing w:after="0"/>
            <w:rPr>
              <w:lang w:val="fr-CA"/>
            </w:rPr>
          </w:pPr>
        </w:p>
        <w:p w14:paraId="654AD020" w14:textId="35787F79" w:rsidR="008B475A" w:rsidRPr="000A50D4" w:rsidRDefault="00753F2E" w:rsidP="00753F2E">
          <w:pPr>
            <w:spacing w:after="0"/>
            <w:rPr>
              <w:lang w:val="en-US"/>
            </w:rPr>
          </w:pPr>
          <w:r w:rsidRPr="000A50D4">
            <w:rPr>
              <w:lang w:val="en-US"/>
            </w:rPr>
            <w:t xml:space="preserve">This </w:t>
          </w:r>
          <w:r w:rsidR="00220592">
            <w:rPr>
              <w:lang w:val="en-US"/>
            </w:rPr>
            <w:t>summary</w:t>
          </w:r>
          <w:r w:rsidR="00220592" w:rsidRPr="000A50D4">
            <w:rPr>
              <w:lang w:val="en-US"/>
            </w:rPr>
            <w:t xml:space="preserve"> </w:t>
          </w:r>
          <w:r w:rsidRPr="000A50D4">
            <w:rPr>
              <w:lang w:val="en-US"/>
            </w:rPr>
            <w:t>is also available in English</w:t>
          </w:r>
          <w:r w:rsidR="008B475A" w:rsidRPr="000A50D4">
            <w:rPr>
              <w:lang w:val="en-US"/>
            </w:rPr>
            <w:t>.</w:t>
          </w:r>
        </w:p>
        <w:p w14:paraId="045E105E" w14:textId="77777777" w:rsidR="008B475A" w:rsidRPr="000A50D4" w:rsidRDefault="008B475A" w:rsidP="002925A3">
          <w:pPr>
            <w:spacing w:after="0"/>
            <w:rPr>
              <w:lang w:val="en-US"/>
            </w:rPr>
          </w:pPr>
        </w:p>
        <w:p w14:paraId="3E8D8CB3" w14:textId="0831E93C" w:rsidR="008B475A" w:rsidRPr="000A50D4" w:rsidRDefault="008B475A" w:rsidP="002925A3">
          <w:pPr>
            <w:spacing w:after="0"/>
            <w:rPr>
              <w:lang w:val="en-US"/>
            </w:rPr>
          </w:pPr>
          <w:r w:rsidRPr="00B74B72">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1C9DC14D" w14:textId="52D1FF07" w:rsidR="00075612" w:rsidRPr="00B74B72" w:rsidRDefault="00E05467" w:rsidP="00263477">
          <w:pPr>
            <w:rPr>
              <w:lang w:val="fr-CA"/>
            </w:rPr>
          </w:pPr>
        </w:p>
        <w:bookmarkStart w:id="1" w:name="_Hlk26513818" w:displacedByCustomXml="next"/>
      </w:sdtContent>
    </w:sdt>
    <w:p w14:paraId="100918D9" w14:textId="77777777" w:rsidR="00B71F41" w:rsidRPr="00B74B72" w:rsidRDefault="00B71F41" w:rsidP="00B71F41">
      <w:pPr>
        <w:spacing w:line="259" w:lineRule="auto"/>
        <w:rPr>
          <w:b/>
          <w:sz w:val="28"/>
          <w:lang w:val="fr-CA"/>
        </w:rPr>
        <w:sectPr w:rsidR="00B71F41" w:rsidRPr="00B74B72" w:rsidSect="00174838">
          <w:headerReference w:type="default" r:id="rId10"/>
          <w:headerReference w:type="first" r:id="rId11"/>
          <w:pgSz w:w="12240" w:h="15840"/>
          <w:pgMar w:top="2160" w:right="1440" w:bottom="2160" w:left="1728" w:header="706" w:footer="706" w:gutter="0"/>
          <w:pgNumType w:start="0"/>
          <w:cols w:space="708"/>
          <w:titlePg/>
          <w:docGrid w:linePitch="360"/>
        </w:sectPr>
      </w:pPr>
    </w:p>
    <w:bookmarkEnd w:id="1"/>
    <w:p w14:paraId="6B7615D3" w14:textId="77777777" w:rsidR="00990E59" w:rsidRPr="00B74B72" w:rsidRDefault="00990E59" w:rsidP="00990E59">
      <w:pPr>
        <w:rPr>
          <w:lang w:val="fr-CA"/>
        </w:rPr>
      </w:pPr>
    </w:p>
    <w:p w14:paraId="7E2739EE" w14:textId="66B504D1" w:rsidR="007222DF" w:rsidRPr="00B74B72" w:rsidRDefault="00753F2E" w:rsidP="0090398C">
      <w:pPr>
        <w:pStyle w:val="SectionDivider"/>
        <w:rPr>
          <w:lang w:val="fr-CA"/>
        </w:rPr>
      </w:pPr>
      <w:bookmarkStart w:id="2" w:name="_Toc29547575"/>
      <w:r w:rsidRPr="00B74B72">
        <w:rPr>
          <w:lang w:val="fr-CA"/>
        </w:rPr>
        <w:t>Résumé</w:t>
      </w:r>
      <w:bookmarkEnd w:id="2"/>
    </w:p>
    <w:p w14:paraId="04B894F2" w14:textId="2E9CF453" w:rsidR="005556B2" w:rsidRPr="00B74B72" w:rsidRDefault="005556B2" w:rsidP="005556B2">
      <w:pPr>
        <w:pStyle w:val="Heading1"/>
        <w:rPr>
          <w:lang w:val="fr-CA"/>
        </w:rPr>
      </w:pPr>
      <w:bookmarkStart w:id="3" w:name="_Toc29547576"/>
      <w:r w:rsidRPr="00B74B72">
        <w:rPr>
          <w:lang w:val="fr-CA"/>
        </w:rPr>
        <w:t>Introduction</w:t>
      </w:r>
      <w:bookmarkEnd w:id="3"/>
    </w:p>
    <w:p w14:paraId="2609411C" w14:textId="00F9FB72" w:rsidR="00753F2E" w:rsidRPr="00B74B72" w:rsidRDefault="00753F2E" w:rsidP="00753F2E">
      <w:pPr>
        <w:rPr>
          <w:lang w:val="fr-CA"/>
        </w:rPr>
      </w:pPr>
      <w:r w:rsidRPr="00B74B72">
        <w:rPr>
          <w:lang w:val="fr-CA"/>
        </w:rPr>
        <w:t>Le Secrétariat des communications et</w:t>
      </w:r>
      <w:r w:rsidR="0034233C">
        <w:rPr>
          <w:lang w:val="fr-CA"/>
        </w:rPr>
        <w:t xml:space="preserve"> des</w:t>
      </w:r>
      <w:r w:rsidRPr="00B74B72">
        <w:rPr>
          <w:lang w:val="fr-CA"/>
        </w:rPr>
        <w:t xml:space="preserve"> consultation</w:t>
      </w:r>
      <w:r w:rsidR="0034233C">
        <w:rPr>
          <w:lang w:val="fr-CA"/>
        </w:rPr>
        <w:t>s</w:t>
      </w:r>
      <w:r w:rsidRPr="00B74B72">
        <w:rPr>
          <w:lang w:val="fr-CA"/>
        </w:rPr>
        <w:t xml:space="preserve"> du Bureau du Conseil privé (BCP) a confié à The Strategic Counsel (TSC) le mandat de mener </w:t>
      </w:r>
      <w:r w:rsidR="002E55DF">
        <w:rPr>
          <w:lang w:val="fr-CA"/>
        </w:rPr>
        <w:t>des cycles de</w:t>
      </w:r>
      <w:r w:rsidRPr="00B74B72">
        <w:rPr>
          <w:lang w:val="fr-CA"/>
        </w:rPr>
        <w:t xml:space="preserve"> recherche</w:t>
      </w:r>
      <w:r w:rsidR="002E55DF">
        <w:rPr>
          <w:lang w:val="fr-CA"/>
        </w:rPr>
        <w:t xml:space="preserve"> par groupe de discussion auprès</w:t>
      </w:r>
      <w:r w:rsidRPr="00B74B72">
        <w:rPr>
          <w:lang w:val="fr-CA"/>
        </w:rPr>
        <w:t xml:space="preserve"> de membres du public </w:t>
      </w:r>
      <w:r w:rsidR="002E55DF">
        <w:rPr>
          <w:lang w:val="fr-CA"/>
        </w:rPr>
        <w:t>un peu</w:t>
      </w:r>
      <w:r w:rsidRPr="00B74B72">
        <w:rPr>
          <w:lang w:val="fr-CA"/>
        </w:rPr>
        <w:t xml:space="preserve"> partout au pay</w:t>
      </w:r>
      <w:r w:rsidR="002E55DF">
        <w:rPr>
          <w:lang w:val="fr-CA"/>
        </w:rPr>
        <w:t>s,</w:t>
      </w:r>
      <w:r w:rsidRPr="00B74B72">
        <w:rPr>
          <w:lang w:val="fr-CA"/>
        </w:rPr>
        <w:t xml:space="preserve"> portant sur des enjeux, des événements et des initiatives stratégiques de premier plan liés au gouvernement du Canada. </w:t>
      </w:r>
    </w:p>
    <w:p w14:paraId="4C138ABD" w14:textId="77777777" w:rsidR="00753F2E" w:rsidRPr="00B74B72" w:rsidRDefault="00753F2E" w:rsidP="00753F2E">
      <w:pPr>
        <w:rPr>
          <w:lang w:val="fr-CA"/>
        </w:rPr>
      </w:pPr>
      <w:r w:rsidRPr="00B74B72">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24BE5E03" w14:textId="55557469" w:rsidR="00753F2E" w:rsidRPr="00B74B72" w:rsidRDefault="00753F2E" w:rsidP="00753F2E">
      <w:pPr>
        <w:rPr>
          <w:lang w:val="fr-CA"/>
        </w:rPr>
      </w:pPr>
      <w:r w:rsidRPr="00B74B72">
        <w:rPr>
          <w:lang w:val="fr-CA"/>
        </w:rPr>
        <w:t xml:space="preserve">La recherche vise à aider le Secrétariat des communications et </w:t>
      </w:r>
      <w:r w:rsidR="0034233C">
        <w:rPr>
          <w:lang w:val="fr-CA"/>
        </w:rPr>
        <w:t xml:space="preserve">des </w:t>
      </w:r>
      <w:r w:rsidRPr="00B74B72">
        <w:rPr>
          <w:lang w:val="fr-CA"/>
        </w:rPr>
        <w:t>consultation</w:t>
      </w:r>
      <w:r w:rsidR="0034233C">
        <w:rPr>
          <w:lang w:val="fr-CA"/>
        </w:rPr>
        <w:t>s</w:t>
      </w:r>
      <w:r w:rsidRPr="00B74B72">
        <w:rPr>
          <w:lang w:val="fr-CA"/>
        </w:rPr>
        <w:t xml:space="preserve"> du BCP à remplir son mandat, qui consiste à soutenir le bureau du premier ministre dans la coordination des communications du gouvernement. Plus particulièrement, la recherche permettra de s’assurer que le BCP </w:t>
      </w:r>
      <w:r w:rsidR="00864183">
        <w:rPr>
          <w:lang w:val="fr-CA"/>
        </w:rPr>
        <w:t>reste au fait</w:t>
      </w:r>
      <w:r w:rsidRPr="00B74B72">
        <w:rPr>
          <w:lang w:val="fr-CA"/>
        </w:rPr>
        <w:t xml:space="preserve"> </w:t>
      </w:r>
      <w:r w:rsidR="00864183" w:rsidRPr="00B74B72">
        <w:rPr>
          <w:lang w:val="fr-CA"/>
        </w:rPr>
        <w:t xml:space="preserve">des tendances émergentes </w:t>
      </w:r>
      <w:r w:rsidR="00864183">
        <w:rPr>
          <w:lang w:val="fr-CA"/>
        </w:rPr>
        <w:t xml:space="preserve">et </w:t>
      </w:r>
      <w:r w:rsidRPr="00B74B72">
        <w:rPr>
          <w:lang w:val="fr-CA"/>
        </w:rPr>
        <w:t>de l’opinion des Canadiens sur les enjeux de macro</w:t>
      </w:r>
      <w:r w:rsidRPr="00B74B72">
        <w:rPr>
          <w:lang w:val="fr-CA"/>
        </w:rPr>
        <w:noBreakHyphen/>
        <w:t>niveau qui intéressent le gouvernement.</w:t>
      </w:r>
    </w:p>
    <w:p w14:paraId="36295B67" w14:textId="77777777" w:rsidR="00753F2E" w:rsidRPr="00B74B72" w:rsidRDefault="00753F2E" w:rsidP="00753F2E">
      <w:pPr>
        <w:rPr>
          <w:lang w:val="fr-CA"/>
        </w:rPr>
      </w:pPr>
      <w:r w:rsidRPr="00B74B72">
        <w:rPr>
          <w:lang w:val="fr-CA"/>
        </w:rPr>
        <w:t>Le présent rapport dévoile les conclusions qui ressortent des huit groupes de discussion en personne organisés entre le 8 et le 15 août 2019, dans quatre villes du pays, en Ontario, au Québec, en Nouvelle-</w:t>
      </w:r>
      <w:r w:rsidRPr="00B74B72">
        <w:rPr>
          <w:lang w:val="fr-CA"/>
        </w:rPr>
        <w:lastRenderedPageBreak/>
        <w:t>Écosse et au Nunavut. Les détails concernant les lieux, le recrutement et la composition des groupes figurent ci-dessous.</w:t>
      </w:r>
    </w:p>
    <w:p w14:paraId="6BA44EBD" w14:textId="7A3192BA" w:rsidR="00753F2E" w:rsidRPr="00B74B72" w:rsidRDefault="00753F2E" w:rsidP="00753F2E">
      <w:pPr>
        <w:rPr>
          <w:lang w:val="fr-CA"/>
        </w:rPr>
      </w:pPr>
      <w:r w:rsidRPr="00B74B72">
        <w:rPr>
          <w:lang w:val="fr-CA"/>
        </w:rPr>
        <w:t xml:space="preserve">En ce qui concerne les objectifs </w:t>
      </w:r>
      <w:r w:rsidR="00775D20">
        <w:rPr>
          <w:lang w:val="fr-CA"/>
        </w:rPr>
        <w:t xml:space="preserve">propres à </w:t>
      </w:r>
      <w:r w:rsidRPr="00B74B72">
        <w:rPr>
          <w:lang w:val="fr-CA"/>
        </w:rPr>
        <w:t>ce cycle de discussions, la recherche a permis d’analyser</w:t>
      </w:r>
      <w:r w:rsidR="00775D20">
        <w:rPr>
          <w:lang w:val="fr-CA"/>
        </w:rPr>
        <w:t xml:space="preserve"> </w:t>
      </w:r>
      <w:r w:rsidRPr="00B74B72">
        <w:rPr>
          <w:lang w:val="fr-CA"/>
        </w:rPr>
        <w:t xml:space="preserve">une vaste gamme d’enjeux, </w:t>
      </w:r>
      <w:r w:rsidR="00775D20">
        <w:rPr>
          <w:lang w:val="fr-CA"/>
        </w:rPr>
        <w:t xml:space="preserve">dont certains en profondeur, </w:t>
      </w:r>
      <w:r w:rsidR="005F078F">
        <w:rPr>
          <w:lang w:val="fr-CA"/>
        </w:rPr>
        <w:t>y compris</w:t>
      </w:r>
      <w:r w:rsidR="00775D20">
        <w:rPr>
          <w:lang w:val="fr-CA"/>
        </w:rPr>
        <w:t xml:space="preserve"> </w:t>
      </w:r>
      <w:r w:rsidRPr="00B74B72">
        <w:rPr>
          <w:lang w:val="fr-CA"/>
        </w:rPr>
        <w:t xml:space="preserve">la </w:t>
      </w:r>
      <w:r w:rsidR="00775D20">
        <w:rPr>
          <w:lang w:val="fr-CA"/>
        </w:rPr>
        <w:t>notoriété</w:t>
      </w:r>
      <w:r w:rsidRPr="00B74B72">
        <w:rPr>
          <w:lang w:val="fr-CA"/>
        </w:rPr>
        <w:t xml:space="preserve"> et les perceptions entourant de récent</w:t>
      </w:r>
      <w:r w:rsidR="00775D20">
        <w:rPr>
          <w:lang w:val="fr-CA"/>
        </w:rPr>
        <w:t>e</w:t>
      </w:r>
      <w:r w:rsidRPr="00B74B72">
        <w:rPr>
          <w:lang w:val="fr-CA"/>
        </w:rPr>
        <w:t xml:space="preserve">s </w:t>
      </w:r>
      <w:r w:rsidR="00775D20">
        <w:rPr>
          <w:lang w:val="fr-CA"/>
        </w:rPr>
        <w:t>nouvelles, initiatives ou annonces du gouvernement du Canada</w:t>
      </w:r>
      <w:r w:rsidR="005F078F">
        <w:rPr>
          <w:lang w:val="fr-CA"/>
        </w:rPr>
        <w:t xml:space="preserve"> dans le domaine</w:t>
      </w:r>
      <w:r w:rsidRPr="00B74B72">
        <w:rPr>
          <w:lang w:val="fr-CA"/>
        </w:rPr>
        <w:t xml:space="preserve"> </w:t>
      </w:r>
      <w:r w:rsidR="005F078F">
        <w:rPr>
          <w:lang w:val="fr-CA"/>
        </w:rPr>
        <w:t>des</w:t>
      </w:r>
      <w:r w:rsidRPr="00B74B72">
        <w:rPr>
          <w:lang w:val="fr-CA"/>
        </w:rPr>
        <w:t xml:space="preserve"> changements climatiques et </w:t>
      </w:r>
      <w:r w:rsidR="005F078F">
        <w:rPr>
          <w:lang w:val="fr-CA"/>
        </w:rPr>
        <w:t>de</w:t>
      </w:r>
      <w:r w:rsidRPr="00B74B72">
        <w:rPr>
          <w:lang w:val="fr-CA"/>
        </w:rPr>
        <w:t xml:space="preserve"> l’environnement</w:t>
      </w:r>
      <w:r w:rsidR="005F078F">
        <w:rPr>
          <w:lang w:val="fr-CA"/>
        </w:rPr>
        <w:t xml:space="preserve"> (p. ex., </w:t>
      </w:r>
      <w:r w:rsidRPr="00B74B72">
        <w:rPr>
          <w:lang w:val="fr-CA"/>
        </w:rPr>
        <w:t>l’interdiction des plastiques à usage unique et la tarification fédérale de la pollution</w:t>
      </w:r>
      <w:r w:rsidR="005F078F">
        <w:rPr>
          <w:lang w:val="fr-CA"/>
        </w:rPr>
        <w:t>)</w:t>
      </w:r>
      <w:r w:rsidRPr="00B74B72">
        <w:rPr>
          <w:lang w:val="fr-CA"/>
        </w:rPr>
        <w:t xml:space="preserve">. </w:t>
      </w:r>
      <w:r w:rsidR="00915565">
        <w:rPr>
          <w:lang w:val="fr-CA"/>
        </w:rPr>
        <w:t>La</w:t>
      </w:r>
      <w:r w:rsidRPr="00B74B72">
        <w:rPr>
          <w:lang w:val="fr-CA"/>
        </w:rPr>
        <w:t xml:space="preserve"> recherche a </w:t>
      </w:r>
      <w:r w:rsidR="00915565">
        <w:rPr>
          <w:lang w:val="fr-CA"/>
        </w:rPr>
        <w:t xml:space="preserve">également </w:t>
      </w:r>
      <w:r w:rsidRPr="00B74B72">
        <w:rPr>
          <w:lang w:val="fr-CA"/>
        </w:rPr>
        <w:t xml:space="preserve">porté sur des questions d’intérêt local, pour dégager des problèmes précis touchant aux infrastructures et à </w:t>
      </w:r>
      <w:r w:rsidRPr="008679D9">
        <w:rPr>
          <w:lang w:val="fr-CA"/>
        </w:rPr>
        <w:t xml:space="preserve">l’économie. </w:t>
      </w:r>
      <w:r w:rsidR="008679D9" w:rsidRPr="008679D9">
        <w:rPr>
          <w:lang w:val="fr-CA"/>
        </w:rPr>
        <w:t>Des sujets particulier</w:t>
      </w:r>
      <w:r w:rsidR="00915565">
        <w:rPr>
          <w:lang w:val="fr-CA"/>
        </w:rPr>
        <w:t>s</w:t>
      </w:r>
      <w:r w:rsidR="008679D9" w:rsidRPr="008679D9">
        <w:rPr>
          <w:lang w:val="fr-CA"/>
        </w:rPr>
        <w:t xml:space="preserve"> ont été abordés dans certaines villes, par exemple les services de garde</w:t>
      </w:r>
      <w:r w:rsidR="00915565">
        <w:rPr>
          <w:lang w:val="fr-CA"/>
        </w:rPr>
        <w:t xml:space="preserve"> d’enfants</w:t>
      </w:r>
      <w:r w:rsidR="008679D9" w:rsidRPr="008679D9">
        <w:rPr>
          <w:lang w:val="fr-CA"/>
        </w:rPr>
        <w:t>, les soins de santé, le logement et les enjeux autochtones</w:t>
      </w:r>
      <w:r w:rsidRPr="008679D9">
        <w:rPr>
          <w:lang w:val="fr-CA"/>
        </w:rPr>
        <w:t xml:space="preserve">. </w:t>
      </w:r>
      <w:r w:rsidR="00915565">
        <w:rPr>
          <w:lang w:val="fr-CA"/>
        </w:rPr>
        <w:t>Par ailleurs</w:t>
      </w:r>
      <w:r w:rsidR="008679D9" w:rsidRPr="008679D9">
        <w:rPr>
          <w:lang w:val="fr-CA"/>
        </w:rPr>
        <w:t>, les participants se sont prêtés à une série d’exercices qui variaient selon l’emplacement et le thème abordé</w:t>
      </w:r>
      <w:r w:rsidRPr="008679D9">
        <w:rPr>
          <w:lang w:val="fr-CA"/>
        </w:rPr>
        <w:t xml:space="preserve">. </w:t>
      </w:r>
      <w:r w:rsidR="008679D9" w:rsidRPr="008679D9">
        <w:rPr>
          <w:lang w:val="fr-CA"/>
        </w:rPr>
        <w:t>Ces exercices</w:t>
      </w:r>
      <w:r w:rsidRPr="008679D9">
        <w:rPr>
          <w:lang w:val="fr-CA"/>
        </w:rPr>
        <w:t xml:space="preserve"> </w:t>
      </w:r>
      <w:r w:rsidR="008679D9" w:rsidRPr="008679D9">
        <w:rPr>
          <w:lang w:val="fr-CA"/>
        </w:rPr>
        <w:t>avaient pour but de cerner les priorités des participants</w:t>
      </w:r>
      <w:r w:rsidRPr="008679D9">
        <w:rPr>
          <w:lang w:val="fr-CA"/>
        </w:rPr>
        <w:t xml:space="preserve"> </w:t>
      </w:r>
      <w:r w:rsidR="008679D9" w:rsidRPr="008679D9">
        <w:rPr>
          <w:lang w:val="fr-CA"/>
        </w:rPr>
        <w:t>en ce qui concerne les objectifs du gouvernement du Canada</w:t>
      </w:r>
      <w:r w:rsidRPr="008679D9">
        <w:rPr>
          <w:lang w:val="fr-CA"/>
        </w:rPr>
        <w:t xml:space="preserve">, </w:t>
      </w:r>
      <w:r w:rsidR="008679D9" w:rsidRPr="008679D9">
        <w:rPr>
          <w:lang w:val="fr-CA"/>
        </w:rPr>
        <w:t>tant de façon générale que dans des</w:t>
      </w:r>
      <w:r w:rsidRPr="008679D9">
        <w:rPr>
          <w:lang w:val="fr-CA"/>
        </w:rPr>
        <w:t xml:space="preserve"> </w:t>
      </w:r>
      <w:r w:rsidR="00915565">
        <w:rPr>
          <w:lang w:val="fr-CA"/>
        </w:rPr>
        <w:t>domaines</w:t>
      </w:r>
      <w:r w:rsidR="008679D9" w:rsidRPr="008679D9">
        <w:rPr>
          <w:lang w:val="fr-CA"/>
        </w:rPr>
        <w:t xml:space="preserve"> </w:t>
      </w:r>
      <w:r w:rsidR="00915565">
        <w:rPr>
          <w:lang w:val="fr-CA"/>
        </w:rPr>
        <w:t>ciblés</w:t>
      </w:r>
      <w:r w:rsidR="008679D9" w:rsidRPr="008679D9">
        <w:rPr>
          <w:lang w:val="fr-CA"/>
        </w:rPr>
        <w:t xml:space="preserve"> tels </w:t>
      </w:r>
      <w:r w:rsidR="00915565">
        <w:rPr>
          <w:lang w:val="fr-CA"/>
        </w:rPr>
        <w:t xml:space="preserve">que </w:t>
      </w:r>
      <w:r w:rsidR="008679D9" w:rsidRPr="008679D9">
        <w:rPr>
          <w:lang w:val="fr-CA"/>
        </w:rPr>
        <w:t>les services de garde d’enfants et les soins de santé</w:t>
      </w:r>
      <w:r w:rsidRPr="00915565">
        <w:rPr>
          <w:lang w:val="fr-CA"/>
        </w:rPr>
        <w:t xml:space="preserve">. </w:t>
      </w:r>
      <w:r w:rsidR="00915565" w:rsidRPr="00915565">
        <w:rPr>
          <w:lang w:val="fr-CA"/>
        </w:rPr>
        <w:t>D’autres exercices ont</w:t>
      </w:r>
      <w:r w:rsidRPr="00915565">
        <w:rPr>
          <w:lang w:val="fr-CA"/>
        </w:rPr>
        <w:t xml:space="preserve"> </w:t>
      </w:r>
      <w:r w:rsidR="00915565" w:rsidRPr="00915565">
        <w:rPr>
          <w:lang w:val="fr-CA"/>
        </w:rPr>
        <w:t>servi à tester les noms</w:t>
      </w:r>
      <w:r w:rsidRPr="00915565">
        <w:rPr>
          <w:lang w:val="fr-CA"/>
        </w:rPr>
        <w:t xml:space="preserve"> </w:t>
      </w:r>
      <w:r w:rsidR="00915565" w:rsidRPr="00915565">
        <w:rPr>
          <w:lang w:val="fr-CA"/>
        </w:rPr>
        <w:t>possibles</w:t>
      </w:r>
      <w:r w:rsidRPr="00915565">
        <w:rPr>
          <w:lang w:val="fr-CA"/>
        </w:rPr>
        <w:t xml:space="preserve"> </w:t>
      </w:r>
      <w:r w:rsidR="00915565" w:rsidRPr="00915565">
        <w:rPr>
          <w:lang w:val="fr-CA"/>
        </w:rPr>
        <w:t>d’une stratégie gouvernementale visant à améliorer l’accès à des médicaments sur ordonnance abordables</w:t>
      </w:r>
      <w:r w:rsidRPr="00915565">
        <w:rPr>
          <w:lang w:val="fr-CA"/>
        </w:rPr>
        <w:t xml:space="preserve"> </w:t>
      </w:r>
      <w:r w:rsidR="00915565" w:rsidRPr="00915565">
        <w:rPr>
          <w:lang w:val="fr-CA"/>
        </w:rPr>
        <w:t>et à jauger l’impact perçu d’une série de mesures</w:t>
      </w:r>
      <w:r w:rsidRPr="00915565">
        <w:rPr>
          <w:lang w:val="fr-CA"/>
        </w:rPr>
        <w:t xml:space="preserve"> </w:t>
      </w:r>
      <w:r w:rsidR="00915565" w:rsidRPr="00915565">
        <w:rPr>
          <w:lang w:val="fr-CA"/>
        </w:rPr>
        <w:t>prises par le gouvernement du Canada en matière d’environnement</w:t>
      </w:r>
      <w:r w:rsidRPr="00915565">
        <w:rPr>
          <w:lang w:val="fr-CA"/>
        </w:rPr>
        <w:t>.</w:t>
      </w:r>
    </w:p>
    <w:p w14:paraId="2E833996" w14:textId="196D9E13" w:rsidR="00AD7D5A" w:rsidRPr="00B74B72" w:rsidRDefault="00753F2E" w:rsidP="00753F2E">
      <w:pPr>
        <w:rPr>
          <w:lang w:val="fr-CA"/>
        </w:rPr>
      </w:pPr>
      <w:r w:rsidRPr="00B74B72">
        <w:rPr>
          <w:lang w:val="fr-CA"/>
        </w:rPr>
        <w:t>Il convient de souligner que les résultats de la présente étude doivent être interprétés avec prudence, les conclusions d’une recherche qualitative étant de nature directionnelle et ne pouvant être attribués à l’ensemble de la population à l’étude avec un quelconque degré de certitude</w:t>
      </w:r>
      <w:r w:rsidR="00AD7D5A" w:rsidRPr="00B74B72">
        <w:rPr>
          <w:lang w:val="fr-CA"/>
        </w:rPr>
        <w:t>.</w:t>
      </w:r>
    </w:p>
    <w:p w14:paraId="7A424A5E" w14:textId="5CCEB5C3" w:rsidR="005556B2" w:rsidRPr="00B74B72" w:rsidRDefault="005556B2" w:rsidP="00AD7D5A">
      <w:pPr>
        <w:pStyle w:val="Heading1"/>
        <w:rPr>
          <w:lang w:val="fr-CA"/>
        </w:rPr>
      </w:pPr>
      <w:bookmarkStart w:id="4" w:name="_Toc29547577"/>
      <w:r w:rsidRPr="00B74B72">
        <w:rPr>
          <w:lang w:val="fr-CA"/>
        </w:rPr>
        <w:t>M</w:t>
      </w:r>
      <w:r w:rsidR="00753F2E" w:rsidRPr="00B74B72">
        <w:rPr>
          <w:lang w:val="fr-CA"/>
        </w:rPr>
        <w:t>é</w:t>
      </w:r>
      <w:r w:rsidRPr="00B74B72">
        <w:rPr>
          <w:lang w:val="fr-CA"/>
        </w:rPr>
        <w:t>thodolog</w:t>
      </w:r>
      <w:r w:rsidR="00753F2E" w:rsidRPr="00B74B72">
        <w:rPr>
          <w:lang w:val="fr-CA"/>
        </w:rPr>
        <w:t>ie</w:t>
      </w:r>
      <w:bookmarkEnd w:id="4"/>
    </w:p>
    <w:p w14:paraId="73F7FDFD" w14:textId="77777777" w:rsidR="00753F2E" w:rsidRPr="00B74B72" w:rsidRDefault="00753F2E" w:rsidP="00753F2E">
      <w:pPr>
        <w:rPr>
          <w:rFonts w:ascii="Segoe UI Light" w:eastAsia="Calibri" w:hAnsi="Segoe UI Light" w:cs="Calibri Light"/>
          <w:b/>
          <w:color w:val="5A5B5E"/>
          <w:sz w:val="44"/>
          <w:lang w:val="fr-CA"/>
        </w:rPr>
      </w:pPr>
      <w:r w:rsidRPr="00B74B72">
        <w:rPr>
          <w:rFonts w:eastAsia="Calibri" w:cs="Times New Roman"/>
          <w:b/>
          <w:color w:val="5A5B5E"/>
          <w:lang w:val="fr-CA"/>
        </w:rPr>
        <w:t>Aperçu des groupes</w:t>
      </w:r>
    </w:p>
    <w:p w14:paraId="0BD7CAF3" w14:textId="77777777" w:rsidR="00753F2E" w:rsidRPr="00B74B72" w:rsidRDefault="00753F2E" w:rsidP="00753F2E">
      <w:pPr>
        <w:rPr>
          <w:rFonts w:eastAsia="Calibri" w:cs="Times New Roman"/>
          <w:color w:val="5A5B5E"/>
          <w:lang w:val="fr-CA"/>
        </w:rPr>
      </w:pPr>
      <w:r w:rsidRPr="00B74B72">
        <w:rPr>
          <w:rFonts w:eastAsia="Calibri" w:cs="Times New Roman"/>
          <w:color w:val="5A5B5E"/>
          <w:lang w:val="fr-CA"/>
        </w:rPr>
        <w:t>Public cible</w:t>
      </w:r>
    </w:p>
    <w:p w14:paraId="70919661" w14:textId="647E922F" w:rsidR="00753F2E" w:rsidRPr="00B74B72" w:rsidRDefault="007765BF" w:rsidP="00753F2E">
      <w:pPr>
        <w:numPr>
          <w:ilvl w:val="0"/>
          <w:numId w:val="2"/>
        </w:numPr>
        <w:spacing w:line="256" w:lineRule="auto"/>
        <w:contextualSpacing/>
        <w:rPr>
          <w:rFonts w:eastAsia="Calibri" w:cs="Times New Roman"/>
          <w:color w:val="5A5B5E"/>
          <w:lang w:val="fr-CA"/>
        </w:rPr>
      </w:pPr>
      <w:r>
        <w:rPr>
          <w:rFonts w:eastAsia="Calibri" w:cs="Times New Roman"/>
          <w:color w:val="5A5B5E"/>
          <w:lang w:val="fr-CA"/>
        </w:rPr>
        <w:t>Les groupes se sont composés de r</w:t>
      </w:r>
      <w:r w:rsidR="00753F2E" w:rsidRPr="00B74B72">
        <w:rPr>
          <w:rFonts w:eastAsia="Calibri" w:cs="Times New Roman"/>
          <w:color w:val="5A5B5E"/>
          <w:lang w:val="fr-CA"/>
        </w:rPr>
        <w:t xml:space="preserve">ésidents canadiens </w:t>
      </w:r>
      <w:r>
        <w:rPr>
          <w:rFonts w:eastAsia="Calibri" w:cs="Times New Roman"/>
          <w:color w:val="5A5B5E"/>
          <w:lang w:val="fr-CA"/>
        </w:rPr>
        <w:t xml:space="preserve">âgés </w:t>
      </w:r>
      <w:r w:rsidR="00753F2E" w:rsidRPr="00B74B72">
        <w:rPr>
          <w:rFonts w:eastAsia="Calibri" w:cs="Times New Roman"/>
          <w:color w:val="5A5B5E"/>
          <w:lang w:val="fr-CA"/>
        </w:rPr>
        <w:t>de 18 ans et plus</w:t>
      </w:r>
      <w:r>
        <w:rPr>
          <w:rFonts w:eastAsia="Calibri" w:cs="Times New Roman"/>
          <w:color w:val="5A5B5E"/>
          <w:lang w:val="fr-CA"/>
        </w:rPr>
        <w:t>.</w:t>
      </w:r>
      <w:r w:rsidR="00753F2E" w:rsidRPr="00B74B72">
        <w:rPr>
          <w:rFonts w:eastAsia="Calibri" w:cs="Times New Roman"/>
          <w:color w:val="5A5B5E"/>
          <w:lang w:val="fr-CA"/>
        </w:rPr>
        <w:t xml:space="preserve"> </w:t>
      </w:r>
    </w:p>
    <w:p w14:paraId="1C42F9BB" w14:textId="74252DE7"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Pour le deuxième cycle, les groupes ont été divisés principalement selon le sexe</w:t>
      </w:r>
      <w:r w:rsidR="007765BF">
        <w:rPr>
          <w:rFonts w:eastAsia="Calibri" w:cs="Times New Roman"/>
          <w:color w:val="5A5B5E"/>
          <w:lang w:val="fr-CA"/>
        </w:rPr>
        <w:t>.</w:t>
      </w:r>
      <w:r w:rsidRPr="00B74B72">
        <w:rPr>
          <w:rFonts w:eastAsia="Calibri" w:cs="Times New Roman"/>
          <w:color w:val="5A5B5E"/>
          <w:lang w:val="fr-CA"/>
        </w:rPr>
        <w:t xml:space="preserve"> </w:t>
      </w:r>
    </w:p>
    <w:p w14:paraId="50734363" w14:textId="77777777" w:rsidR="00753F2E" w:rsidRPr="00B74B72" w:rsidRDefault="00753F2E" w:rsidP="00753F2E">
      <w:pPr>
        <w:rPr>
          <w:rFonts w:eastAsia="Calibri" w:cs="Times New Roman"/>
          <w:color w:val="5A5B5E"/>
          <w:lang w:val="fr-CA"/>
        </w:rPr>
      </w:pPr>
    </w:p>
    <w:p w14:paraId="70ED1F9A" w14:textId="77777777" w:rsidR="00753F2E" w:rsidRPr="00B74B72" w:rsidRDefault="00753F2E" w:rsidP="00753F2E">
      <w:pPr>
        <w:rPr>
          <w:rFonts w:eastAsia="Calibri" w:cs="Times New Roman"/>
          <w:b/>
          <w:color w:val="5A5B5E"/>
          <w:lang w:val="fr-CA"/>
        </w:rPr>
      </w:pPr>
      <w:r w:rsidRPr="00B74B72">
        <w:rPr>
          <w:rFonts w:eastAsia="Calibri" w:cs="Times New Roman"/>
          <w:b/>
          <w:color w:val="5A5B5E"/>
          <w:lang w:val="fr-CA"/>
        </w:rPr>
        <w:t xml:space="preserve">Approche détaillée </w:t>
      </w:r>
    </w:p>
    <w:p w14:paraId="53E253B3" w14:textId="2C8A14D4"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 xml:space="preserve">Huit groupes de discussion en personne </w:t>
      </w:r>
      <w:r w:rsidR="007765BF">
        <w:rPr>
          <w:rFonts w:eastAsia="Calibri" w:cs="Times New Roman"/>
          <w:color w:val="5A5B5E"/>
          <w:lang w:val="fr-CA"/>
        </w:rPr>
        <w:t xml:space="preserve">ont été tenus </w:t>
      </w:r>
      <w:r w:rsidRPr="00B74B72">
        <w:rPr>
          <w:rFonts w:eastAsia="Calibri" w:cs="Times New Roman"/>
          <w:color w:val="5A5B5E"/>
          <w:lang w:val="fr-CA"/>
        </w:rPr>
        <w:t>dans quatre villes canadiennes</w:t>
      </w:r>
      <w:r w:rsidR="007765BF">
        <w:rPr>
          <w:rFonts w:eastAsia="Calibri" w:cs="Times New Roman"/>
          <w:color w:val="5A5B5E"/>
          <w:lang w:val="fr-CA"/>
        </w:rPr>
        <w:t>.</w:t>
      </w:r>
    </w:p>
    <w:p w14:paraId="2CB1E480" w14:textId="546E555F"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Deux groupes ont été mis sur pied à chaque endroit, soit : à Hamilton, en Ontario (8 août); à Trois-Rivières, au Québec (8 août); à Iqaluit, au Nunavut (13 août) et à Kentville, en Nouvelle-Écosse (15 août)</w:t>
      </w:r>
      <w:r w:rsidR="007765BF">
        <w:rPr>
          <w:rFonts w:eastAsia="Calibri" w:cs="Times New Roman"/>
          <w:color w:val="5A5B5E"/>
          <w:lang w:val="fr-CA"/>
        </w:rPr>
        <w:t>.</w:t>
      </w:r>
    </w:p>
    <w:p w14:paraId="3F97E09C" w14:textId="30D0461D"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Les discussions des groupes de Trois-Rivières</w:t>
      </w:r>
      <w:r w:rsidR="007765BF">
        <w:rPr>
          <w:rFonts w:eastAsia="Calibri" w:cs="Times New Roman"/>
          <w:color w:val="5A5B5E"/>
          <w:lang w:val="fr-CA"/>
        </w:rPr>
        <w:t xml:space="preserve"> se sont déroulées</w:t>
      </w:r>
      <w:r w:rsidRPr="00B74B72">
        <w:rPr>
          <w:rFonts w:eastAsia="Calibri" w:cs="Times New Roman"/>
          <w:color w:val="5A5B5E"/>
          <w:lang w:val="fr-CA"/>
        </w:rPr>
        <w:t xml:space="preserve"> en français alors que toutes les autres ont eu lieu en anglais</w:t>
      </w:r>
      <w:r w:rsidR="007765BF">
        <w:rPr>
          <w:rFonts w:eastAsia="Calibri" w:cs="Times New Roman"/>
          <w:color w:val="5A5B5E"/>
          <w:lang w:val="fr-CA"/>
        </w:rPr>
        <w:t>.</w:t>
      </w:r>
    </w:p>
    <w:p w14:paraId="40909FE8" w14:textId="27833AD2" w:rsidR="00753F2E" w:rsidRPr="00B74B72" w:rsidRDefault="007765BF" w:rsidP="00753F2E">
      <w:pPr>
        <w:numPr>
          <w:ilvl w:val="0"/>
          <w:numId w:val="2"/>
        </w:numPr>
        <w:spacing w:line="256" w:lineRule="auto"/>
        <w:contextualSpacing/>
        <w:rPr>
          <w:rFonts w:eastAsia="Calibri" w:cs="Times New Roman"/>
          <w:color w:val="5A5B5E"/>
          <w:lang w:val="fr-CA"/>
        </w:rPr>
      </w:pPr>
      <w:r>
        <w:rPr>
          <w:rFonts w:eastAsia="Calibri" w:cs="Times New Roman"/>
          <w:color w:val="5A5B5E"/>
          <w:lang w:val="fr-CA"/>
        </w:rPr>
        <w:lastRenderedPageBreak/>
        <w:t>En tout</w:t>
      </w:r>
      <w:r w:rsidR="00753F2E" w:rsidRPr="00B74B72">
        <w:rPr>
          <w:rFonts w:eastAsia="Calibri" w:cs="Times New Roman"/>
          <w:color w:val="5A5B5E"/>
          <w:lang w:val="fr-CA"/>
        </w:rPr>
        <w:t>, dix participants ont été recrutés pour chaque groupe, afin d’assurer la présence d’au moins huit personnes.</w:t>
      </w:r>
    </w:p>
    <w:p w14:paraId="07535BF4" w14:textId="77777777" w:rsidR="00753F2E" w:rsidRPr="00B74B72" w:rsidRDefault="00753F2E" w:rsidP="00753F2E">
      <w:pPr>
        <w:numPr>
          <w:ilvl w:val="0"/>
          <w:numId w:val="2"/>
        </w:numPr>
        <w:contextualSpacing/>
        <w:rPr>
          <w:rFonts w:eastAsia="Calibri" w:cs="Times New Roman"/>
          <w:color w:val="5A5B5E"/>
          <w:lang w:val="fr-CA"/>
        </w:rPr>
      </w:pPr>
      <w:r w:rsidRPr="00B74B72">
        <w:rPr>
          <w:rFonts w:eastAsia="Calibri" w:cs="Times New Roman"/>
          <w:color w:val="5A5B5E"/>
          <w:lang w:val="fr-CA"/>
        </w:rPr>
        <w:t>Chaque participant a perçu des honoraires de 90 $ pour son temps.</w:t>
      </w:r>
    </w:p>
    <w:p w14:paraId="23FB5CDC" w14:textId="34309713" w:rsidR="00753F2E" w:rsidRPr="00B74B72" w:rsidRDefault="00753F2E" w:rsidP="00753F2E">
      <w:pPr>
        <w:numPr>
          <w:ilvl w:val="0"/>
          <w:numId w:val="2"/>
        </w:numPr>
        <w:spacing w:line="256" w:lineRule="auto"/>
        <w:contextualSpacing/>
        <w:rPr>
          <w:rFonts w:eastAsia="Calibri" w:cs="Times New Roman"/>
          <w:color w:val="5A5B5E"/>
          <w:lang w:val="fr-CA"/>
        </w:rPr>
      </w:pPr>
      <w:r w:rsidRPr="00B74B72">
        <w:rPr>
          <w:rFonts w:eastAsia="Calibri" w:cs="Times New Roman"/>
          <w:color w:val="5A5B5E"/>
          <w:lang w:val="fr-CA"/>
        </w:rPr>
        <w:t>Dans l’ensemble des villes, 71 personnes ont participé</w:t>
      </w:r>
      <w:r w:rsidR="000A436C">
        <w:rPr>
          <w:rFonts w:eastAsia="Calibri" w:cs="Times New Roman"/>
          <w:color w:val="5A5B5E"/>
          <w:lang w:val="fr-CA"/>
        </w:rPr>
        <w:t xml:space="preserve"> aux discussions</w:t>
      </w:r>
      <w:r w:rsidRPr="00B74B72">
        <w:rPr>
          <w:rFonts w:eastAsia="Calibri" w:cs="Times New Roman"/>
          <w:color w:val="5A5B5E"/>
          <w:lang w:val="fr-CA"/>
        </w:rPr>
        <w:t xml:space="preserve">. </w:t>
      </w:r>
      <w:r w:rsidR="000A436C">
        <w:rPr>
          <w:rFonts w:eastAsia="Calibri" w:cs="Times New Roman"/>
          <w:color w:val="5A5B5E"/>
          <w:lang w:val="fr-CA"/>
        </w:rPr>
        <w:t>On trouvera ci-dessous des</w:t>
      </w:r>
      <w:r w:rsidRPr="00B74B72">
        <w:rPr>
          <w:rFonts w:eastAsia="Calibri" w:cs="Times New Roman"/>
          <w:color w:val="5A5B5E"/>
          <w:lang w:val="fr-CA"/>
        </w:rPr>
        <w:t xml:space="preserve"> détails sur le nombre de participants par groupe.</w:t>
      </w:r>
    </w:p>
    <w:p w14:paraId="7D2626C1" w14:textId="77777777" w:rsidR="00753F2E" w:rsidRPr="00B74B72" w:rsidRDefault="00753F2E" w:rsidP="00753F2E">
      <w:pPr>
        <w:spacing w:line="256" w:lineRule="auto"/>
        <w:contextualSpacing/>
        <w:rPr>
          <w:rFonts w:eastAsia="Calibri" w:cs="Times New Roman"/>
          <w:b/>
          <w:color w:val="5A5B5E"/>
          <w:lang w:val="fr-CA"/>
        </w:rPr>
      </w:pPr>
    </w:p>
    <w:p w14:paraId="3BA9BB37" w14:textId="77777777" w:rsidR="00753F2E" w:rsidRPr="00B74B72" w:rsidRDefault="00753F2E" w:rsidP="00753F2E">
      <w:pPr>
        <w:spacing w:line="256" w:lineRule="auto"/>
        <w:contextualSpacing/>
        <w:rPr>
          <w:rFonts w:eastAsia="Calibri" w:cs="Times New Roman"/>
          <w:b/>
          <w:color w:val="5A5B5E"/>
          <w:lang w:val="fr-CA"/>
        </w:rPr>
      </w:pPr>
      <w:r w:rsidRPr="00B74B72">
        <w:rPr>
          <w:b/>
          <w:lang w:val="fr-CA"/>
        </w:rPr>
        <w:t>Composition des groupes et emplacements</w:t>
      </w:r>
    </w:p>
    <w:p w14:paraId="7980059E" w14:textId="77777777" w:rsidR="00753F2E" w:rsidRPr="00B74B72" w:rsidRDefault="00753F2E" w:rsidP="00753F2E">
      <w:pPr>
        <w:rPr>
          <w:rFonts w:eastAsia="Calibri" w:cs="Times New Roman"/>
          <w:color w:val="5A5B5E"/>
          <w:lang w:val="fr-CA"/>
        </w:rPr>
      </w:pPr>
    </w:p>
    <w:tbl>
      <w:tblPr>
        <w:tblStyle w:val="TableGrid2"/>
        <w:tblW w:w="8815" w:type="dxa"/>
        <w:tblLayout w:type="fixed"/>
        <w:tblLook w:val="04A0" w:firstRow="1" w:lastRow="0" w:firstColumn="1" w:lastColumn="0" w:noHBand="0" w:noVBand="1"/>
      </w:tblPr>
      <w:tblGrid>
        <w:gridCol w:w="1259"/>
        <w:gridCol w:w="1076"/>
        <w:gridCol w:w="921"/>
        <w:gridCol w:w="1275"/>
        <w:gridCol w:w="1494"/>
        <w:gridCol w:w="1350"/>
        <w:gridCol w:w="120"/>
        <w:gridCol w:w="1320"/>
      </w:tblGrid>
      <w:tr w:rsidR="00753F2E" w:rsidRPr="00B74B72" w14:paraId="1DF9B23E" w14:textId="77777777" w:rsidTr="00753F2E">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F647A08"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LIEU</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CAA53A9"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GROUPE</w:t>
            </w:r>
          </w:p>
        </w:tc>
        <w:tc>
          <w:tcPr>
            <w:tcW w:w="92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D582A32"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LANGUE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57BC05"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DATE</w:t>
            </w:r>
          </w:p>
        </w:tc>
        <w:tc>
          <w:tcPr>
            <w:tcW w:w="149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D4EF65"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DF0DEE4" w14:textId="77777777"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2CA3AB91" w14:textId="3A74E09D" w:rsidR="00753F2E" w:rsidRPr="00B74B72" w:rsidRDefault="00753F2E" w:rsidP="00753F2E">
            <w:pPr>
              <w:jc w:val="center"/>
              <w:rPr>
                <w:rFonts w:ascii="Calibri" w:eastAsia="Calibri" w:hAnsi="Calibri" w:cs="Calibri"/>
                <w:b/>
                <w:color w:val="5A5B5E"/>
                <w:kern w:val="18"/>
                <w:sz w:val="18"/>
                <w:szCs w:val="18"/>
                <w:lang w:val="fr-CA"/>
              </w:rPr>
            </w:pPr>
            <w:r w:rsidRPr="00B74B72">
              <w:rPr>
                <w:rFonts w:ascii="Calibri" w:eastAsia="Calibri" w:hAnsi="Calibri" w:cs="Calibri"/>
                <w:b/>
                <w:color w:val="5A5B5E"/>
                <w:kern w:val="18"/>
                <w:sz w:val="18"/>
                <w:szCs w:val="18"/>
                <w:lang w:val="fr-CA"/>
              </w:rPr>
              <w:t>NOMBRE</w:t>
            </w:r>
            <w:r w:rsidR="007765BF">
              <w:rPr>
                <w:rFonts w:ascii="Calibri" w:eastAsia="Calibri" w:hAnsi="Calibri" w:cs="Calibri"/>
                <w:b/>
                <w:color w:val="5A5B5E"/>
                <w:kern w:val="18"/>
                <w:sz w:val="18"/>
                <w:szCs w:val="18"/>
                <w:lang w:val="fr-CA"/>
              </w:rPr>
              <w:t xml:space="preserve"> DE</w:t>
            </w:r>
            <w:r w:rsidRPr="00B74B72">
              <w:rPr>
                <w:rFonts w:ascii="Calibri" w:eastAsia="Calibri" w:hAnsi="Calibri" w:cs="Calibri"/>
                <w:b/>
                <w:color w:val="5A5B5E"/>
                <w:kern w:val="18"/>
                <w:sz w:val="18"/>
                <w:szCs w:val="18"/>
                <w:lang w:val="fr-CA"/>
              </w:rPr>
              <w:t xml:space="preserve"> PARTICIPANTS</w:t>
            </w:r>
          </w:p>
        </w:tc>
      </w:tr>
      <w:tr w:rsidR="00753F2E" w:rsidRPr="00B74B72" w14:paraId="44DD6848" w14:textId="77777777" w:rsidTr="00753F2E">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F37C2D4"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Hamilton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6939EB5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6E0789BB"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323BAC31"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3649A4F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249CD4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453FB5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10</w:t>
            </w:r>
          </w:p>
        </w:tc>
      </w:tr>
      <w:tr w:rsidR="00753F2E" w:rsidRPr="00B74B72" w14:paraId="4C31258B" w14:textId="77777777" w:rsidTr="00753F2E">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CF676C8"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1637D4B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2</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76E72B7E"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1D7C6C86"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495C0BF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B4336C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C985CE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5403D3ED" w14:textId="77777777" w:rsidTr="00753F2E">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147A299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Trois-Rivières</w:t>
            </w:r>
          </w:p>
        </w:tc>
        <w:tc>
          <w:tcPr>
            <w:tcW w:w="1076" w:type="dxa"/>
            <w:tcBorders>
              <w:top w:val="single" w:sz="4" w:space="0" w:color="E1E1E1"/>
              <w:left w:val="single" w:sz="4" w:space="0" w:color="E1E1E1"/>
              <w:bottom w:val="single" w:sz="4" w:space="0" w:color="E1E1E1"/>
              <w:right w:val="single" w:sz="4" w:space="0" w:color="E1E1E1"/>
            </w:tcBorders>
            <w:vAlign w:val="center"/>
          </w:tcPr>
          <w:p w14:paraId="2D9AC63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3</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25B2506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44C3F40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2C76BF76"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29BEDCD"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2FECCC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10</w:t>
            </w:r>
          </w:p>
        </w:tc>
      </w:tr>
      <w:tr w:rsidR="00753F2E" w:rsidRPr="00B74B72" w14:paraId="6F69833F" w14:textId="77777777" w:rsidTr="00753F2E">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31E603D0"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02D1EC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4</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3E0368F4"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23DE2140"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1BAE481A"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810DB99"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9C5415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562A35D2" w14:textId="77777777" w:rsidTr="00753F2E">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DDCE8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Iqaluit</w:t>
            </w:r>
          </w:p>
        </w:tc>
        <w:tc>
          <w:tcPr>
            <w:tcW w:w="1076" w:type="dxa"/>
            <w:tcBorders>
              <w:top w:val="single" w:sz="4" w:space="0" w:color="E1E1E1"/>
              <w:left w:val="single" w:sz="4" w:space="0" w:color="E1E1E1"/>
              <w:bottom w:val="single" w:sz="4" w:space="0" w:color="E1E1E1"/>
              <w:right w:val="single" w:sz="4" w:space="0" w:color="E1E1E1"/>
            </w:tcBorders>
            <w:vAlign w:val="center"/>
          </w:tcPr>
          <w:p w14:paraId="5ECC42BB"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5</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5D28EA2E"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05ACD648"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13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52A54D64"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A96C8E0"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5A5012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w:t>
            </w:r>
          </w:p>
        </w:tc>
      </w:tr>
      <w:tr w:rsidR="00753F2E" w:rsidRPr="00B74B72" w14:paraId="2E7B2D5D" w14:textId="77777777" w:rsidTr="00753F2E">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2C5F8E7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8E9F2AD"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6</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720FC98F"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62B476A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40398AE9"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A92F218"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25E80AC"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7</w:t>
            </w:r>
          </w:p>
        </w:tc>
      </w:tr>
      <w:tr w:rsidR="00753F2E" w:rsidRPr="00B74B72" w14:paraId="376FD5BD" w14:textId="77777777" w:rsidTr="00753F2E">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46880B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Kentville</w:t>
            </w:r>
          </w:p>
        </w:tc>
        <w:tc>
          <w:tcPr>
            <w:tcW w:w="1076" w:type="dxa"/>
            <w:tcBorders>
              <w:top w:val="single" w:sz="4" w:space="0" w:color="E1E1E1"/>
              <w:left w:val="single" w:sz="4" w:space="0" w:color="E1E1E1"/>
              <w:bottom w:val="single" w:sz="4" w:space="0" w:color="E1E1E1"/>
              <w:right w:val="single" w:sz="4" w:space="0" w:color="E1E1E1"/>
            </w:tcBorders>
            <w:vAlign w:val="center"/>
          </w:tcPr>
          <w:p w14:paraId="6C2A0DE3"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7</w:t>
            </w:r>
          </w:p>
        </w:tc>
        <w:tc>
          <w:tcPr>
            <w:tcW w:w="921" w:type="dxa"/>
            <w:vMerge w:val="restart"/>
            <w:tcBorders>
              <w:top w:val="single" w:sz="4" w:space="0" w:color="E1E1E1"/>
              <w:left w:val="single" w:sz="4" w:space="0" w:color="E1E1E1"/>
              <w:bottom w:val="single" w:sz="4" w:space="0" w:color="E1E1E1"/>
              <w:right w:val="single" w:sz="4" w:space="0" w:color="E1E1E1"/>
            </w:tcBorders>
            <w:vAlign w:val="center"/>
          </w:tcPr>
          <w:p w14:paraId="2463A26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14:paraId="1D59C9F2"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15 août 2019</w:t>
            </w:r>
          </w:p>
        </w:tc>
        <w:tc>
          <w:tcPr>
            <w:tcW w:w="1494" w:type="dxa"/>
            <w:tcBorders>
              <w:top w:val="single" w:sz="4" w:space="0" w:color="E1E1E1"/>
              <w:left w:val="single" w:sz="4" w:space="0" w:color="E1E1E1"/>
              <w:bottom w:val="single" w:sz="4" w:space="0" w:color="E1E1E1"/>
              <w:right w:val="single" w:sz="4" w:space="0" w:color="E1E1E1"/>
            </w:tcBorders>
            <w:vAlign w:val="center"/>
          </w:tcPr>
          <w:p w14:paraId="18A506CF"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E02E80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08C0A32"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401E60E8" w14:textId="77777777" w:rsidTr="00753F2E">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86788A1"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16F1619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8</w:t>
            </w:r>
          </w:p>
        </w:tc>
        <w:tc>
          <w:tcPr>
            <w:tcW w:w="921" w:type="dxa"/>
            <w:vMerge/>
            <w:tcBorders>
              <w:top w:val="single" w:sz="4" w:space="0" w:color="E1E1E1"/>
              <w:left w:val="single" w:sz="4" w:space="0" w:color="E1E1E1"/>
              <w:bottom w:val="single" w:sz="4" w:space="0" w:color="E1E1E1"/>
              <w:right w:val="single" w:sz="4" w:space="0" w:color="E1E1E1"/>
            </w:tcBorders>
            <w:vAlign w:val="center"/>
          </w:tcPr>
          <w:p w14:paraId="4539437B"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14:paraId="40DEA1EC" w14:textId="77777777" w:rsidR="00753F2E" w:rsidRPr="00B74B72" w:rsidRDefault="00753F2E" w:rsidP="00753F2E">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14:paraId="37F6A53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C2CF797"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4230FB5" w14:textId="77777777" w:rsidR="00753F2E" w:rsidRPr="00B74B72" w:rsidRDefault="00753F2E" w:rsidP="00753F2E">
            <w:pPr>
              <w:jc w:val="center"/>
              <w:rPr>
                <w:rFonts w:ascii="Calibri" w:eastAsia="Calibri" w:hAnsi="Calibri" w:cs="Calibri"/>
                <w:color w:val="5A5B5E"/>
                <w:kern w:val="18"/>
                <w:sz w:val="18"/>
                <w:szCs w:val="18"/>
                <w:lang w:val="fr-CA"/>
              </w:rPr>
            </w:pPr>
            <w:r w:rsidRPr="00B74B72">
              <w:rPr>
                <w:rFonts w:ascii="Calibri" w:eastAsia="Calibri" w:hAnsi="Calibri" w:cs="Calibri"/>
                <w:color w:val="5A5B5E"/>
                <w:kern w:val="18"/>
                <w:sz w:val="18"/>
                <w:szCs w:val="18"/>
                <w:lang w:val="fr-CA"/>
              </w:rPr>
              <w:t>9</w:t>
            </w:r>
          </w:p>
        </w:tc>
      </w:tr>
      <w:tr w:rsidR="00753F2E" w:rsidRPr="00B74B72" w14:paraId="7A633AEF" w14:textId="77777777" w:rsidTr="00753F2E">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68786910" w14:textId="77777777" w:rsidR="00753F2E" w:rsidRPr="00B74B72" w:rsidRDefault="00753F2E" w:rsidP="00753F2E">
            <w:pPr>
              <w:jc w:val="right"/>
              <w:rPr>
                <w:rFonts w:ascii="Calibri" w:eastAsia="Calibri" w:hAnsi="Calibri" w:cs="Calibri"/>
                <w:b/>
                <w:color w:val="5A5B5E"/>
                <w:kern w:val="18"/>
                <w:szCs w:val="18"/>
                <w:lang w:val="fr-CA"/>
              </w:rPr>
            </w:pPr>
            <w:r w:rsidRPr="00B74B72">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E638146" w14:textId="77777777" w:rsidR="00753F2E" w:rsidRPr="00B74B72" w:rsidRDefault="00753F2E" w:rsidP="00753F2E">
            <w:pPr>
              <w:jc w:val="center"/>
              <w:rPr>
                <w:rFonts w:ascii="Calibri" w:eastAsia="Calibri" w:hAnsi="Calibri" w:cs="Calibri"/>
                <w:b/>
                <w:color w:val="5A5B5E"/>
                <w:kern w:val="18"/>
                <w:lang w:val="fr-CA"/>
              </w:rPr>
            </w:pPr>
            <w:r w:rsidRPr="00B74B72">
              <w:rPr>
                <w:rFonts w:ascii="Calibri" w:eastAsia="Calibri" w:hAnsi="Calibri" w:cs="Calibri"/>
                <w:b/>
                <w:color w:val="5A5B5E"/>
                <w:kern w:val="18"/>
                <w:szCs w:val="18"/>
                <w:lang w:val="fr-CA"/>
              </w:rPr>
              <w:t>71</w:t>
            </w:r>
          </w:p>
        </w:tc>
      </w:tr>
    </w:tbl>
    <w:p w14:paraId="7CF47428" w14:textId="77777777" w:rsidR="006E1566" w:rsidRPr="00B74B72" w:rsidRDefault="006E1566" w:rsidP="006E1566">
      <w:pPr>
        <w:rPr>
          <w:rFonts w:eastAsia="Calibri" w:cs="Times New Roman"/>
          <w:b/>
          <w:noProof/>
          <w:color w:val="5A5B5E"/>
          <w:lang w:val="fr-CA"/>
        </w:rPr>
      </w:pPr>
    </w:p>
    <w:p w14:paraId="491910E7" w14:textId="77777777" w:rsidR="006E1566" w:rsidRPr="00B74B72" w:rsidRDefault="006E1566" w:rsidP="006E1566">
      <w:pPr>
        <w:rPr>
          <w:lang w:val="fr-CA"/>
        </w:rPr>
      </w:pPr>
    </w:p>
    <w:p w14:paraId="11190BAF" w14:textId="6418F29F" w:rsidR="005556B2" w:rsidRPr="00B74B72" w:rsidRDefault="00552EAB" w:rsidP="005556B2">
      <w:pPr>
        <w:pStyle w:val="Heading1"/>
        <w:rPr>
          <w:lang w:val="fr-CA"/>
        </w:rPr>
      </w:pPr>
      <w:bookmarkStart w:id="5" w:name="_Toc29547578"/>
      <w:r w:rsidRPr="00B74B72">
        <w:rPr>
          <w:lang w:val="fr-CA"/>
        </w:rPr>
        <w:t>Principales constatations</w:t>
      </w:r>
      <w:bookmarkEnd w:id="5"/>
    </w:p>
    <w:p w14:paraId="0E79D0B1" w14:textId="3A1E1126" w:rsidR="006E1566" w:rsidRPr="00B74B72" w:rsidRDefault="00552EAB" w:rsidP="00AD7D5A">
      <w:pPr>
        <w:rPr>
          <w:noProof/>
          <w:lang w:val="fr-CA"/>
        </w:rPr>
      </w:pPr>
      <w:r w:rsidRPr="00B74B72">
        <w:rPr>
          <w:noProof/>
          <w:lang w:val="fr-CA"/>
        </w:rPr>
        <w:t>Les pages qui suivent résument les principales constatations associées à chacun des thèmes abordés durant le cycle de groupes de discussion menés en août 2019</w:t>
      </w:r>
      <w:r w:rsidR="00AD7D5A" w:rsidRPr="00B74B72">
        <w:rPr>
          <w:noProof/>
          <w:lang w:val="fr-CA"/>
        </w:rPr>
        <w:t>.</w:t>
      </w:r>
    </w:p>
    <w:p w14:paraId="4F782CB6" w14:textId="4E009821" w:rsidR="00552EAB" w:rsidRPr="00B74B72" w:rsidRDefault="00CD40B3" w:rsidP="00552EAB">
      <w:pPr>
        <w:rPr>
          <w:b/>
          <w:noProof/>
          <w:lang w:val="fr-CA"/>
        </w:rPr>
      </w:pPr>
      <w:r>
        <w:rPr>
          <w:b/>
          <w:noProof/>
          <w:lang w:val="fr-CA"/>
        </w:rPr>
        <w:t>Nouvelles</w:t>
      </w:r>
      <w:r w:rsidR="00552EAB" w:rsidRPr="00B74B72">
        <w:rPr>
          <w:b/>
          <w:noProof/>
          <w:lang w:val="fr-CA"/>
        </w:rPr>
        <w:t xml:space="preserve"> du gouvernement du Canada (Hamilton, Trois-Rivières, Iqaluit, Kentville)</w:t>
      </w:r>
    </w:p>
    <w:p w14:paraId="50582672" w14:textId="45259923" w:rsidR="00552EAB" w:rsidRPr="00B74B72" w:rsidRDefault="00E15455" w:rsidP="00552EAB">
      <w:pPr>
        <w:rPr>
          <w:noProof/>
          <w:lang w:val="fr-CA"/>
        </w:rPr>
      </w:pPr>
      <w:r>
        <w:rPr>
          <w:noProof/>
          <w:lang w:val="fr-CA"/>
        </w:rPr>
        <w:t>Interrogés</w:t>
      </w:r>
      <w:r w:rsidR="00552EAB" w:rsidRPr="00B74B72">
        <w:rPr>
          <w:noProof/>
          <w:lang w:val="fr-CA"/>
        </w:rPr>
        <w:t xml:space="preserve"> sur les activités, les initiatives ou les annonces du gouvernement du Canada, les participants des quatre villes ont eu tendance à évoquer </w:t>
      </w:r>
      <w:r>
        <w:rPr>
          <w:noProof/>
          <w:lang w:val="fr-CA"/>
        </w:rPr>
        <w:t>des</w:t>
      </w:r>
      <w:r w:rsidR="00552EAB" w:rsidRPr="00B74B72">
        <w:rPr>
          <w:noProof/>
          <w:lang w:val="fr-CA"/>
        </w:rPr>
        <w:t xml:space="preserve"> nouvelles qui continuaient </w:t>
      </w:r>
      <w:r w:rsidR="0078463A">
        <w:rPr>
          <w:noProof/>
          <w:lang w:val="fr-CA"/>
        </w:rPr>
        <w:t>de</w:t>
      </w:r>
      <w:r w:rsidR="00552EAB" w:rsidRPr="00B74B72">
        <w:rPr>
          <w:noProof/>
          <w:lang w:val="fr-CA"/>
        </w:rPr>
        <w:t xml:space="preserve"> retenir l’attention d</w:t>
      </w:r>
      <w:r w:rsidR="00A91AF9">
        <w:rPr>
          <w:noProof/>
          <w:lang w:val="fr-CA"/>
        </w:rPr>
        <w:t>an</w:t>
      </w:r>
      <w:r w:rsidR="00552EAB" w:rsidRPr="00B74B72">
        <w:rPr>
          <w:noProof/>
          <w:lang w:val="fr-CA"/>
        </w:rPr>
        <w:t>s</w:t>
      </w:r>
      <w:r w:rsidR="00A91AF9">
        <w:rPr>
          <w:noProof/>
          <w:lang w:val="fr-CA"/>
        </w:rPr>
        <w:t xml:space="preserve"> les</w:t>
      </w:r>
      <w:r w:rsidR="00552EAB" w:rsidRPr="00B74B72">
        <w:rPr>
          <w:noProof/>
          <w:lang w:val="fr-CA"/>
        </w:rPr>
        <w:t xml:space="preserve"> médias, notamment </w:t>
      </w:r>
      <w:r w:rsidR="0027346A">
        <w:rPr>
          <w:noProof/>
          <w:lang w:val="fr-CA"/>
        </w:rPr>
        <w:t>celles</w:t>
      </w:r>
      <w:r w:rsidR="00552EAB" w:rsidRPr="00B74B72">
        <w:rPr>
          <w:noProof/>
          <w:lang w:val="fr-CA"/>
        </w:rPr>
        <w:t xml:space="preserve"> touchant aux relations commerciales et diplomatiques, </w:t>
      </w:r>
      <w:r w:rsidR="00A91AF9">
        <w:rPr>
          <w:noProof/>
          <w:lang w:val="fr-CA"/>
        </w:rPr>
        <w:t xml:space="preserve">et </w:t>
      </w:r>
      <w:r w:rsidR="00552EAB" w:rsidRPr="00B74B72">
        <w:rPr>
          <w:noProof/>
          <w:lang w:val="fr-CA"/>
        </w:rPr>
        <w:t xml:space="preserve">en particulier l’Accord Canada-États-Unis-Mexique (ACEUM) et le conflit persistant avec la Chine. </w:t>
      </w:r>
    </w:p>
    <w:p w14:paraId="4864400A" w14:textId="58C089CD" w:rsidR="00AD7D5A" w:rsidRPr="00B74B72" w:rsidRDefault="00552EAB" w:rsidP="00552EAB">
      <w:pPr>
        <w:rPr>
          <w:noProof/>
          <w:lang w:val="fr-CA"/>
        </w:rPr>
      </w:pPr>
      <w:r w:rsidRPr="00B74B72">
        <w:rPr>
          <w:noProof/>
          <w:lang w:val="fr-CA"/>
        </w:rPr>
        <w:t xml:space="preserve">Sur le front environnemental, plusieurs participants ont fait référence aux pipelines, </w:t>
      </w:r>
      <w:r w:rsidR="00E15455">
        <w:rPr>
          <w:noProof/>
          <w:lang w:val="fr-CA"/>
        </w:rPr>
        <w:t>au projet</w:t>
      </w:r>
      <w:r w:rsidRPr="00B74B72">
        <w:rPr>
          <w:noProof/>
          <w:lang w:val="fr-CA"/>
        </w:rPr>
        <w:t xml:space="preserve"> </w:t>
      </w:r>
      <w:r w:rsidR="00E15455">
        <w:rPr>
          <w:noProof/>
          <w:lang w:val="fr-CA"/>
        </w:rPr>
        <w:t>d</w:t>
      </w:r>
      <w:r w:rsidRPr="00B74B72">
        <w:rPr>
          <w:noProof/>
          <w:lang w:val="fr-CA"/>
        </w:rPr>
        <w:t xml:space="preserve">’interdiction des plastiques à usage unique et au récent rapatriement des déchets canadiens envoyés aux Philippines. </w:t>
      </w:r>
      <w:r w:rsidR="00E15455">
        <w:rPr>
          <w:noProof/>
          <w:lang w:val="fr-CA"/>
        </w:rPr>
        <w:t>Dans plusieurs groupes, u</w:t>
      </w:r>
      <w:r w:rsidRPr="00B74B72">
        <w:rPr>
          <w:noProof/>
          <w:lang w:val="fr-CA"/>
        </w:rPr>
        <w:t>n petit nombre de participants</w:t>
      </w:r>
      <w:r w:rsidR="00E15455">
        <w:rPr>
          <w:noProof/>
          <w:lang w:val="fr-CA"/>
        </w:rPr>
        <w:t xml:space="preserve"> </w:t>
      </w:r>
      <w:r w:rsidRPr="00B74B72">
        <w:rPr>
          <w:noProof/>
          <w:lang w:val="fr-CA"/>
        </w:rPr>
        <w:t xml:space="preserve">ont mentionné la hausse de l’Allocation canadienne pour enfants (ACE), la légalisation du cannabis et l’affaire SNC-Lavalin, mais ces questions </w:t>
      </w:r>
      <w:r w:rsidR="00E15455">
        <w:rPr>
          <w:noProof/>
          <w:lang w:val="fr-CA"/>
        </w:rPr>
        <w:t>ont été peu commentées</w:t>
      </w:r>
      <w:r w:rsidR="00AD7D5A" w:rsidRPr="00B74B72">
        <w:rPr>
          <w:noProof/>
          <w:lang w:val="fr-CA"/>
        </w:rPr>
        <w:t>.</w:t>
      </w:r>
    </w:p>
    <w:p w14:paraId="576055AC" w14:textId="25C3855F" w:rsidR="00552EAB" w:rsidRPr="00B74B72" w:rsidRDefault="00552EAB" w:rsidP="00AD7D5A">
      <w:pPr>
        <w:rPr>
          <w:lang w:val="fr-CA"/>
        </w:rPr>
      </w:pPr>
      <w:r w:rsidRPr="00B74B72">
        <w:rPr>
          <w:lang w:val="fr-CA"/>
        </w:rPr>
        <w:lastRenderedPageBreak/>
        <w:t>À Iqaluit, un certain nombre de personnes se sont rappelé l’annonce d’un apport de fonds destinés aux infrastructures du Nunavut et les excuses du gouvernement du Canada pour son traitement des Inuits.</w:t>
      </w:r>
    </w:p>
    <w:p w14:paraId="2C3C34B7" w14:textId="1FC6B663" w:rsidR="00AD7D5A" w:rsidRPr="00B74B72" w:rsidRDefault="00552EAB" w:rsidP="00AD7D5A">
      <w:pPr>
        <w:rPr>
          <w:b/>
          <w:noProof/>
          <w:lang w:val="fr-CA"/>
        </w:rPr>
      </w:pPr>
      <w:r w:rsidRPr="00B74B72">
        <w:rPr>
          <w:b/>
          <w:noProof/>
          <w:lang w:val="fr-CA"/>
        </w:rPr>
        <w:t>Enjeux locaux</w:t>
      </w:r>
      <w:r w:rsidR="00AD7D5A" w:rsidRPr="00B74B72">
        <w:rPr>
          <w:b/>
          <w:noProof/>
          <w:lang w:val="fr-CA"/>
        </w:rPr>
        <w:t xml:space="preserve"> (Hamilton, Trois-Rivières, Iqaluit, Kentville)</w:t>
      </w:r>
    </w:p>
    <w:p w14:paraId="6F88252D" w14:textId="235BCD5B" w:rsidR="00552EAB" w:rsidRPr="00B74B72" w:rsidRDefault="00E15455" w:rsidP="00552EAB">
      <w:pPr>
        <w:rPr>
          <w:noProof/>
          <w:lang w:val="fr-CA"/>
        </w:rPr>
      </w:pPr>
      <w:r>
        <w:rPr>
          <w:noProof/>
          <w:lang w:val="fr-CA"/>
        </w:rPr>
        <w:t>Les discussions ont mis en évidence u</w:t>
      </w:r>
      <w:r w:rsidR="00552EAB" w:rsidRPr="00B74B72">
        <w:rPr>
          <w:noProof/>
          <w:lang w:val="fr-CA"/>
        </w:rPr>
        <w:t xml:space="preserve">ne série d’enjeux ou de problèmes communs à toutes les villes : le logement abordable, l’emploi, la drogue, la criminalité, </w:t>
      </w:r>
      <w:r>
        <w:rPr>
          <w:noProof/>
          <w:lang w:val="fr-CA"/>
        </w:rPr>
        <w:t xml:space="preserve">et </w:t>
      </w:r>
      <w:r w:rsidR="00552EAB" w:rsidRPr="00B74B72">
        <w:rPr>
          <w:noProof/>
          <w:lang w:val="fr-CA"/>
        </w:rPr>
        <w:t>les services et infrastructures publics. L’accès aux soins de santé a aussi fait surface dans la plupart des groupes.</w:t>
      </w:r>
    </w:p>
    <w:p w14:paraId="550726DB" w14:textId="49515E30" w:rsidR="00552EAB" w:rsidRPr="00B74B72" w:rsidRDefault="00552EAB" w:rsidP="00552EAB">
      <w:pPr>
        <w:rPr>
          <w:noProof/>
          <w:lang w:val="fr-CA"/>
        </w:rPr>
      </w:pPr>
      <w:r w:rsidRPr="00B74B72">
        <w:rPr>
          <w:noProof/>
          <w:lang w:val="fr-CA"/>
        </w:rPr>
        <w:t xml:space="preserve">En parallèle, </w:t>
      </w:r>
      <w:r w:rsidR="00E15455">
        <w:rPr>
          <w:noProof/>
          <w:lang w:val="fr-CA"/>
        </w:rPr>
        <w:t>d’autres</w:t>
      </w:r>
      <w:r w:rsidRPr="00B74B72">
        <w:rPr>
          <w:noProof/>
          <w:lang w:val="fr-CA"/>
        </w:rPr>
        <w:t xml:space="preserve"> enjeux étaient </w:t>
      </w:r>
      <w:r w:rsidR="00E15455">
        <w:rPr>
          <w:noProof/>
          <w:lang w:val="fr-CA"/>
        </w:rPr>
        <w:t>propres à une région</w:t>
      </w:r>
      <w:r w:rsidRPr="00B74B72">
        <w:rPr>
          <w:noProof/>
          <w:lang w:val="fr-CA"/>
        </w:rPr>
        <w:t>. À Hamilton, la pollution provenant des aciéries et l</w:t>
      </w:r>
      <w:r w:rsidR="008B28E5">
        <w:rPr>
          <w:noProof/>
          <w:lang w:val="fr-CA"/>
        </w:rPr>
        <w:t>’embourgeoisement</w:t>
      </w:r>
      <w:r w:rsidRPr="00B74B72">
        <w:rPr>
          <w:noProof/>
          <w:lang w:val="fr-CA"/>
        </w:rPr>
        <w:t xml:space="preserve"> des quartiers </w:t>
      </w:r>
      <w:r w:rsidR="00A552B4">
        <w:rPr>
          <w:noProof/>
          <w:lang w:val="fr-CA"/>
        </w:rPr>
        <w:t>ont figuré</w:t>
      </w:r>
      <w:r w:rsidRPr="00B74B72">
        <w:rPr>
          <w:noProof/>
          <w:lang w:val="fr-CA"/>
        </w:rPr>
        <w:t xml:space="preserve"> en tête des préoccupations. À Iqaluit, le grave déficit en matière d’infrastructures (connectivité Internet, eau, égouts, logements, routes, soins de santé) a polarisé l’attention. À Kentville, les participants ont évoqué des problèmes</w:t>
      </w:r>
      <w:r w:rsidR="00A552B4">
        <w:rPr>
          <w:noProof/>
          <w:lang w:val="fr-CA"/>
        </w:rPr>
        <w:t xml:space="preserve"> analogues</w:t>
      </w:r>
      <w:r w:rsidRPr="00B74B72">
        <w:rPr>
          <w:noProof/>
          <w:lang w:val="fr-CA"/>
        </w:rPr>
        <w:t>, soit le logement, les routes et les soins de santé. Les répondants de Trois-Rivières ont pour leur part</w:t>
      </w:r>
      <w:r w:rsidR="00A91AF9">
        <w:rPr>
          <w:noProof/>
          <w:lang w:val="fr-CA"/>
        </w:rPr>
        <w:t xml:space="preserve"> mentionné</w:t>
      </w:r>
      <w:r w:rsidR="00A552B4">
        <w:rPr>
          <w:noProof/>
          <w:lang w:val="fr-CA"/>
        </w:rPr>
        <w:t xml:space="preserve"> </w:t>
      </w:r>
      <w:r w:rsidRPr="00B74B72">
        <w:rPr>
          <w:noProof/>
          <w:lang w:val="fr-CA"/>
        </w:rPr>
        <w:t>les soins de santé, les routes, la pollution de l’eau, le compostage et le tourisme.</w:t>
      </w:r>
    </w:p>
    <w:p w14:paraId="613BD84E" w14:textId="0C86E49D" w:rsidR="00AD7D5A" w:rsidRPr="00B74B72" w:rsidRDefault="00552EAB" w:rsidP="00552EAB">
      <w:pPr>
        <w:rPr>
          <w:noProof/>
          <w:lang w:val="fr-CA"/>
        </w:rPr>
      </w:pPr>
      <w:r w:rsidRPr="00B74B72">
        <w:rPr>
          <w:noProof/>
          <w:lang w:val="fr-CA"/>
        </w:rPr>
        <w:t xml:space="preserve">Peu de gens étaient au courant d’activités menées par le gouvernement fédéral pour soutenir leur </w:t>
      </w:r>
      <w:r w:rsidR="00A552B4">
        <w:rPr>
          <w:noProof/>
          <w:lang w:val="fr-CA"/>
        </w:rPr>
        <w:t>collectivité</w:t>
      </w:r>
      <w:r w:rsidRPr="00B74B72">
        <w:rPr>
          <w:noProof/>
          <w:lang w:val="fr-CA"/>
        </w:rPr>
        <w:t xml:space="preserve">. Dans l’ensemble, ils </w:t>
      </w:r>
      <w:r w:rsidR="00A552B4">
        <w:rPr>
          <w:noProof/>
          <w:lang w:val="fr-CA"/>
        </w:rPr>
        <w:t>ont considéré</w:t>
      </w:r>
      <w:r w:rsidRPr="00B74B72">
        <w:rPr>
          <w:noProof/>
          <w:lang w:val="fr-CA"/>
        </w:rPr>
        <w:t xml:space="preserve"> que les activités du gouvernement du Canada avaient un impact «</w:t>
      </w:r>
      <w:r w:rsidR="001F684A">
        <w:rPr>
          <w:noProof/>
          <w:lang w:val="fr-CA"/>
        </w:rPr>
        <w:t> </w:t>
      </w:r>
      <w:r w:rsidRPr="00B74B72">
        <w:rPr>
          <w:noProof/>
          <w:lang w:val="fr-CA"/>
        </w:rPr>
        <w:t>neutre</w:t>
      </w:r>
      <w:r w:rsidR="001F684A">
        <w:rPr>
          <w:noProof/>
          <w:lang w:val="fr-CA"/>
        </w:rPr>
        <w:t> </w:t>
      </w:r>
      <w:r w:rsidRPr="00B74B72">
        <w:rPr>
          <w:noProof/>
          <w:lang w:val="fr-CA"/>
        </w:rPr>
        <w:t>»</w:t>
      </w:r>
      <w:r w:rsidR="00A552B4">
        <w:rPr>
          <w:noProof/>
          <w:lang w:val="fr-CA"/>
        </w:rPr>
        <w:t xml:space="preserve"> </w:t>
      </w:r>
      <w:r w:rsidR="00A552B4">
        <w:rPr>
          <w:rFonts w:cs="Segoe UI"/>
          <w:noProof/>
          <w:lang w:val="fr-CA"/>
        </w:rPr>
        <w:t>—</w:t>
      </w:r>
      <w:r w:rsidRPr="00B74B72">
        <w:rPr>
          <w:noProof/>
          <w:lang w:val="fr-CA"/>
        </w:rPr>
        <w:t xml:space="preserve"> ni très positif</w:t>
      </w:r>
      <w:r w:rsidR="008B28E5">
        <w:rPr>
          <w:noProof/>
          <w:lang w:val="fr-CA"/>
        </w:rPr>
        <w:t>,</w:t>
      </w:r>
      <w:r w:rsidRPr="00B74B72">
        <w:rPr>
          <w:noProof/>
          <w:lang w:val="fr-CA"/>
        </w:rPr>
        <w:t xml:space="preserve"> ni très négatif. Iqaluit a fait exception à la règle</w:t>
      </w:r>
      <w:r w:rsidR="00A552B4">
        <w:rPr>
          <w:noProof/>
          <w:lang w:val="fr-CA"/>
        </w:rPr>
        <w:t xml:space="preserve"> : </w:t>
      </w:r>
      <w:r w:rsidRPr="00B74B72">
        <w:rPr>
          <w:noProof/>
          <w:lang w:val="fr-CA"/>
        </w:rPr>
        <w:t xml:space="preserve">ses participants </w:t>
      </w:r>
      <w:r w:rsidR="00A552B4">
        <w:rPr>
          <w:noProof/>
          <w:lang w:val="fr-CA"/>
        </w:rPr>
        <w:t>étaient</w:t>
      </w:r>
      <w:r w:rsidRPr="00B74B72">
        <w:rPr>
          <w:noProof/>
          <w:lang w:val="fr-CA"/>
        </w:rPr>
        <w:t xml:space="preserve"> largement d’avis que le Nunavut fait figure de parent pauvre du financement fédéral et que</w:t>
      </w:r>
      <w:r w:rsidR="00A552B4">
        <w:rPr>
          <w:noProof/>
          <w:lang w:val="fr-CA"/>
        </w:rPr>
        <w:t>,</w:t>
      </w:r>
      <w:r w:rsidRPr="00B74B72">
        <w:rPr>
          <w:noProof/>
          <w:lang w:val="fr-CA"/>
        </w:rPr>
        <w:t xml:space="preserve"> souvent</w:t>
      </w:r>
      <w:r w:rsidR="00A552B4">
        <w:rPr>
          <w:noProof/>
          <w:lang w:val="fr-CA"/>
        </w:rPr>
        <w:t>,</w:t>
      </w:r>
      <w:r w:rsidRPr="00B74B72">
        <w:rPr>
          <w:noProof/>
          <w:lang w:val="fr-CA"/>
        </w:rPr>
        <w:t xml:space="preserve"> les décisions du gouvernement </w:t>
      </w:r>
      <w:r w:rsidR="00A91AF9">
        <w:rPr>
          <w:noProof/>
          <w:lang w:val="fr-CA"/>
        </w:rPr>
        <w:t>canadien</w:t>
      </w:r>
      <w:r w:rsidRPr="00B74B72">
        <w:rPr>
          <w:noProof/>
          <w:lang w:val="fr-CA"/>
        </w:rPr>
        <w:t xml:space="preserve"> ne correspondent pas aux souhaits et aux besoins locaux. Sur une note plus positive, certains participants de Kentville ont </w:t>
      </w:r>
      <w:r w:rsidR="00A552B4">
        <w:rPr>
          <w:noProof/>
          <w:lang w:val="fr-CA"/>
        </w:rPr>
        <w:t>souligné</w:t>
      </w:r>
      <w:r w:rsidRPr="00B74B72">
        <w:rPr>
          <w:noProof/>
          <w:lang w:val="fr-CA"/>
        </w:rPr>
        <w:t xml:space="preserve"> le financement fédéral </w:t>
      </w:r>
      <w:r w:rsidR="00A2612E">
        <w:rPr>
          <w:noProof/>
          <w:lang w:val="fr-CA"/>
        </w:rPr>
        <w:t>octroyé</w:t>
      </w:r>
      <w:r w:rsidR="00A552B4">
        <w:rPr>
          <w:noProof/>
          <w:lang w:val="fr-CA"/>
        </w:rPr>
        <w:t xml:space="preserve"> à des </w:t>
      </w:r>
      <w:r w:rsidRPr="00B74B72">
        <w:rPr>
          <w:noProof/>
          <w:lang w:val="fr-CA"/>
        </w:rPr>
        <w:t>établissements de soins de santé locaux et l’augmentation du crédit pour TPS ou du remboursement de la TPS</w:t>
      </w:r>
      <w:r w:rsidR="00AD7D5A" w:rsidRPr="00B74B72">
        <w:rPr>
          <w:noProof/>
          <w:lang w:val="fr-CA"/>
        </w:rPr>
        <w:t>.</w:t>
      </w:r>
      <w:r w:rsidR="00832861">
        <w:rPr>
          <w:noProof/>
          <w:lang w:val="fr-CA"/>
        </w:rPr>
        <w:t xml:space="preserve"> </w:t>
      </w:r>
    </w:p>
    <w:p w14:paraId="4FE6259E" w14:textId="5EADFC0C" w:rsidR="00AD7D5A" w:rsidRPr="00B74B72" w:rsidRDefault="00552EAB" w:rsidP="00AD7D5A">
      <w:pPr>
        <w:rPr>
          <w:b/>
          <w:noProof/>
          <w:lang w:val="fr-CA"/>
        </w:rPr>
      </w:pPr>
      <w:r w:rsidRPr="00B74B72">
        <w:rPr>
          <w:b/>
          <w:noProof/>
          <w:lang w:val="fr-CA"/>
        </w:rPr>
        <w:t>Priorités du gouvernement du Canada</w:t>
      </w:r>
      <w:r w:rsidR="00AD7D5A" w:rsidRPr="00B74B72">
        <w:rPr>
          <w:b/>
          <w:noProof/>
          <w:lang w:val="fr-CA"/>
        </w:rPr>
        <w:t xml:space="preserve"> (Hamilton, Trois-Rivières, Iqaluit, Kentville)</w:t>
      </w:r>
    </w:p>
    <w:p w14:paraId="76139084" w14:textId="48A8E137" w:rsidR="00552EAB" w:rsidRPr="00B74B72" w:rsidRDefault="000A436C" w:rsidP="00552EAB">
      <w:pPr>
        <w:rPr>
          <w:noProof/>
          <w:lang w:val="fr-CA"/>
        </w:rPr>
      </w:pPr>
      <w:r w:rsidRPr="000A436C">
        <w:rPr>
          <w:noProof/>
          <w:lang w:val="fr-CA"/>
        </w:rPr>
        <w:t>Nous</w:t>
      </w:r>
      <w:r w:rsidR="00552EAB" w:rsidRPr="000A436C">
        <w:rPr>
          <w:noProof/>
          <w:lang w:val="fr-CA"/>
        </w:rPr>
        <w:t xml:space="preserve"> a</w:t>
      </w:r>
      <w:r w:rsidRPr="000A436C">
        <w:rPr>
          <w:noProof/>
          <w:lang w:val="fr-CA"/>
        </w:rPr>
        <w:t>vons</w:t>
      </w:r>
      <w:r w:rsidR="00552EAB" w:rsidRPr="00B74B72">
        <w:rPr>
          <w:noProof/>
          <w:lang w:val="fr-CA"/>
        </w:rPr>
        <w:t xml:space="preserve"> remis aux participants </w:t>
      </w:r>
      <w:r w:rsidR="00A2612E">
        <w:rPr>
          <w:noProof/>
          <w:lang w:val="fr-CA"/>
        </w:rPr>
        <w:t>des quatre villes</w:t>
      </w:r>
      <w:r w:rsidR="00552EAB" w:rsidRPr="00B74B72">
        <w:rPr>
          <w:noProof/>
          <w:lang w:val="fr-CA"/>
        </w:rPr>
        <w:t xml:space="preserve"> une feuille de travail comportant une liste d’objectifs généraux, en leur demandant d’encercler les deux ou trois éléments prioritaires sur lesquels le gouvernement fédéral devrait se concentrer, selon eux. </w:t>
      </w:r>
      <w:r w:rsidR="008B28E5">
        <w:rPr>
          <w:noProof/>
          <w:lang w:val="fr-CA"/>
        </w:rPr>
        <w:t>L</w:t>
      </w:r>
      <w:r w:rsidR="00552EAB" w:rsidRPr="00B74B72">
        <w:rPr>
          <w:noProof/>
          <w:lang w:val="fr-CA"/>
        </w:rPr>
        <w:t>es groupes ont été unanimes à reconnaître l’importance de deux objectifs clés : «</w:t>
      </w:r>
      <w:r w:rsidR="001F684A">
        <w:rPr>
          <w:noProof/>
          <w:lang w:val="fr-CA"/>
        </w:rPr>
        <w:t> </w:t>
      </w:r>
      <w:r w:rsidR="00552EAB" w:rsidRPr="00B74B72">
        <w:rPr>
          <w:noProof/>
          <w:lang w:val="fr-CA"/>
        </w:rPr>
        <w:t>rendre la vie plus abordable</w:t>
      </w:r>
      <w:r w:rsidR="001F684A">
        <w:rPr>
          <w:noProof/>
          <w:lang w:val="fr-CA"/>
        </w:rPr>
        <w:t> </w:t>
      </w:r>
      <w:r w:rsidR="00552EAB" w:rsidRPr="00B74B72">
        <w:rPr>
          <w:noProof/>
          <w:lang w:val="fr-CA"/>
        </w:rPr>
        <w:t>» et «</w:t>
      </w:r>
      <w:r w:rsidR="001F684A">
        <w:rPr>
          <w:noProof/>
          <w:lang w:val="fr-CA"/>
        </w:rPr>
        <w:t> </w:t>
      </w:r>
      <w:r w:rsidR="00552EAB" w:rsidRPr="00B74B72">
        <w:rPr>
          <w:noProof/>
          <w:lang w:val="fr-CA"/>
        </w:rPr>
        <w:t>améliorer la qualité de vie des Canadiennes et des Canadiens</w:t>
      </w:r>
      <w:r w:rsidR="001F684A">
        <w:rPr>
          <w:noProof/>
          <w:lang w:val="fr-CA"/>
        </w:rPr>
        <w:t> </w:t>
      </w:r>
      <w:r w:rsidR="00552EAB" w:rsidRPr="00B74B72">
        <w:rPr>
          <w:noProof/>
          <w:lang w:val="fr-CA"/>
        </w:rPr>
        <w:t xml:space="preserve">». </w:t>
      </w:r>
    </w:p>
    <w:p w14:paraId="679C038C" w14:textId="4C46B08B" w:rsidR="00552EAB" w:rsidRPr="00B74B72" w:rsidRDefault="00552EAB" w:rsidP="00552EAB">
      <w:pPr>
        <w:rPr>
          <w:noProof/>
          <w:lang w:val="fr-CA"/>
        </w:rPr>
      </w:pPr>
      <w:r w:rsidRPr="00B74B72">
        <w:rPr>
          <w:noProof/>
          <w:lang w:val="fr-CA"/>
        </w:rPr>
        <w:t xml:space="preserve">L’importance accordée à l’abordabilité </w:t>
      </w:r>
      <w:r w:rsidR="00A2612E">
        <w:rPr>
          <w:noProof/>
          <w:lang w:val="fr-CA"/>
        </w:rPr>
        <w:t>était symptomatique</w:t>
      </w:r>
      <w:r w:rsidRPr="00B74B72">
        <w:rPr>
          <w:noProof/>
          <w:lang w:val="fr-CA"/>
        </w:rPr>
        <w:t xml:space="preserve"> </w:t>
      </w:r>
      <w:r w:rsidR="00A2612E">
        <w:rPr>
          <w:noProof/>
          <w:lang w:val="fr-CA"/>
        </w:rPr>
        <w:t>d’</w:t>
      </w:r>
      <w:r w:rsidRPr="00B74B72">
        <w:rPr>
          <w:noProof/>
          <w:lang w:val="fr-CA"/>
        </w:rPr>
        <w:t>inquiétudes plus générales sur la hausse du coût de la vie, surtout du logement et d’autres besoins fondamentaux, et sur les salaires qui n’évoluent</w:t>
      </w:r>
      <w:r w:rsidR="001A17DB">
        <w:rPr>
          <w:noProof/>
          <w:lang w:val="fr-CA"/>
        </w:rPr>
        <w:t xml:space="preserve"> pas</w:t>
      </w:r>
      <w:r w:rsidRPr="00B74B72">
        <w:rPr>
          <w:noProof/>
          <w:lang w:val="fr-CA"/>
        </w:rPr>
        <w:t xml:space="preserve"> au même rythme. Les participants ont également </w:t>
      </w:r>
      <w:r w:rsidR="00EE51DD">
        <w:rPr>
          <w:noProof/>
          <w:lang w:val="fr-CA"/>
        </w:rPr>
        <w:t>privilégié</w:t>
      </w:r>
      <w:r w:rsidRPr="00B74B72">
        <w:rPr>
          <w:noProof/>
          <w:lang w:val="fr-CA"/>
        </w:rPr>
        <w:t xml:space="preserve"> l’abordabilité parce que cet objectif se prête à l’établissement de politiques gouvernementales bien définies pour s’attaquer à la pénurie de logements et à leurs coûts élevés, réduire les impôts, améliorer les perspectives d’emploi et augmenter les salaires.</w:t>
      </w:r>
    </w:p>
    <w:p w14:paraId="67410BC4" w14:textId="37807AF3" w:rsidR="00552EAB" w:rsidRPr="00B74B72" w:rsidRDefault="00552EAB" w:rsidP="00552EAB">
      <w:pPr>
        <w:rPr>
          <w:noProof/>
          <w:lang w:val="fr-CA"/>
        </w:rPr>
      </w:pPr>
      <w:r w:rsidRPr="00B74B72">
        <w:rPr>
          <w:noProof/>
          <w:lang w:val="fr-CA"/>
        </w:rPr>
        <w:t>De l’avis de la plupart des participants, l’amélioration de la qualité de vie des Canadiennes et des Canadiens </w:t>
      </w:r>
      <w:r w:rsidR="00EE51DD">
        <w:rPr>
          <w:noProof/>
          <w:lang w:val="fr-CA"/>
        </w:rPr>
        <w:t>s’inscrit dans</w:t>
      </w:r>
      <w:r w:rsidRPr="00B74B72">
        <w:rPr>
          <w:noProof/>
          <w:lang w:val="fr-CA"/>
        </w:rPr>
        <w:t xml:space="preserve"> </w:t>
      </w:r>
      <w:r w:rsidR="00EE51DD">
        <w:rPr>
          <w:noProof/>
          <w:lang w:val="fr-CA"/>
        </w:rPr>
        <w:t>u</w:t>
      </w:r>
      <w:r w:rsidRPr="00B74B72">
        <w:rPr>
          <w:noProof/>
          <w:lang w:val="fr-CA"/>
        </w:rPr>
        <w:t xml:space="preserve">ne optique plus large, </w:t>
      </w:r>
      <w:r w:rsidR="00D52284">
        <w:rPr>
          <w:noProof/>
          <w:lang w:val="fr-CA"/>
        </w:rPr>
        <w:t>qui va</w:t>
      </w:r>
      <w:r w:rsidRPr="00B74B72">
        <w:rPr>
          <w:noProof/>
          <w:lang w:val="fr-CA"/>
        </w:rPr>
        <w:t xml:space="preserve"> au-delà des questions économiques et financières pour englober la santé générale et le bien-être des gens. </w:t>
      </w:r>
      <w:r w:rsidR="00D417B5">
        <w:rPr>
          <w:noProof/>
          <w:lang w:val="fr-CA"/>
        </w:rPr>
        <w:t>D’a</w:t>
      </w:r>
      <w:r w:rsidR="00EE51DD">
        <w:rPr>
          <w:noProof/>
          <w:lang w:val="fr-CA"/>
        </w:rPr>
        <w:t>utres</w:t>
      </w:r>
      <w:r w:rsidRPr="00B74B72">
        <w:rPr>
          <w:noProof/>
          <w:lang w:val="fr-CA"/>
        </w:rPr>
        <w:t xml:space="preserve"> objectifs </w:t>
      </w:r>
      <w:r w:rsidR="00EE51DD">
        <w:rPr>
          <w:noProof/>
          <w:lang w:val="fr-CA"/>
        </w:rPr>
        <w:t>axés sur</w:t>
      </w:r>
      <w:r w:rsidRPr="00B74B72">
        <w:rPr>
          <w:noProof/>
          <w:lang w:val="fr-CA"/>
        </w:rPr>
        <w:t xml:space="preserve"> la satisfaction, l’épanouissement ou la prospérité</w:t>
      </w:r>
      <w:r w:rsidR="00D52284">
        <w:rPr>
          <w:noProof/>
          <w:lang w:val="fr-CA"/>
        </w:rPr>
        <w:t xml:space="preserve"> de la population</w:t>
      </w:r>
      <w:r w:rsidRPr="00B74B72">
        <w:rPr>
          <w:noProof/>
          <w:lang w:val="fr-CA"/>
        </w:rPr>
        <w:t xml:space="preserve"> ont </w:t>
      </w:r>
      <w:r w:rsidR="00D52284">
        <w:rPr>
          <w:noProof/>
          <w:lang w:val="fr-CA"/>
        </w:rPr>
        <w:t>paru</w:t>
      </w:r>
      <w:r w:rsidRPr="00B74B72">
        <w:rPr>
          <w:noProof/>
          <w:lang w:val="fr-CA"/>
        </w:rPr>
        <w:t xml:space="preserve"> </w:t>
      </w:r>
      <w:r w:rsidR="00D417B5">
        <w:rPr>
          <w:noProof/>
          <w:lang w:val="fr-CA"/>
        </w:rPr>
        <w:t>de nature trop</w:t>
      </w:r>
      <w:r w:rsidR="00EE51DD">
        <w:rPr>
          <w:noProof/>
          <w:lang w:val="fr-CA"/>
        </w:rPr>
        <w:t xml:space="preserve"> subjecti</w:t>
      </w:r>
      <w:r w:rsidR="00D417B5">
        <w:rPr>
          <w:noProof/>
          <w:lang w:val="fr-CA"/>
        </w:rPr>
        <w:t>ve</w:t>
      </w:r>
      <w:r w:rsidR="00EE51DD">
        <w:rPr>
          <w:noProof/>
          <w:lang w:val="fr-CA"/>
        </w:rPr>
        <w:t xml:space="preserve"> ou</w:t>
      </w:r>
      <w:r w:rsidRPr="00B74B72">
        <w:rPr>
          <w:noProof/>
          <w:lang w:val="fr-CA"/>
        </w:rPr>
        <w:t xml:space="preserve"> </w:t>
      </w:r>
      <w:r w:rsidR="00D52284">
        <w:rPr>
          <w:noProof/>
          <w:lang w:val="fr-CA"/>
        </w:rPr>
        <w:t>personnel</w:t>
      </w:r>
      <w:r w:rsidR="00D417B5">
        <w:rPr>
          <w:noProof/>
          <w:lang w:val="fr-CA"/>
        </w:rPr>
        <w:t xml:space="preserve">le, ce qui compliquerait la tâche d’élaborer </w:t>
      </w:r>
      <w:r w:rsidRPr="00B74B72">
        <w:rPr>
          <w:noProof/>
          <w:lang w:val="fr-CA"/>
        </w:rPr>
        <w:t xml:space="preserve">un programme précis ou </w:t>
      </w:r>
      <w:r w:rsidR="00D417B5">
        <w:rPr>
          <w:noProof/>
          <w:lang w:val="fr-CA"/>
        </w:rPr>
        <w:t>de</w:t>
      </w:r>
      <w:r w:rsidRPr="00B74B72">
        <w:rPr>
          <w:noProof/>
          <w:lang w:val="fr-CA"/>
        </w:rPr>
        <w:t xml:space="preserve"> mesurer les progrès. </w:t>
      </w:r>
    </w:p>
    <w:p w14:paraId="394A1DF9" w14:textId="5C4F4458" w:rsidR="00AD7D5A" w:rsidRPr="00B74B72" w:rsidRDefault="00552EAB" w:rsidP="00552EAB">
      <w:pPr>
        <w:rPr>
          <w:noProof/>
          <w:lang w:val="fr-CA"/>
        </w:rPr>
      </w:pPr>
      <w:r w:rsidRPr="00B74B72">
        <w:rPr>
          <w:noProof/>
          <w:lang w:val="fr-CA"/>
        </w:rPr>
        <w:lastRenderedPageBreak/>
        <w:t xml:space="preserve">L’objectif de favoriser la croissance et le renforcement de la classe moyenne a fait débat et a été perçu différemment selon le lieu. </w:t>
      </w:r>
      <w:r w:rsidR="00E63B09">
        <w:rPr>
          <w:noProof/>
          <w:lang w:val="fr-CA"/>
        </w:rPr>
        <w:t xml:space="preserve">Dans certains cas, le consensus était que </w:t>
      </w:r>
      <w:r w:rsidR="00E63B09" w:rsidRPr="00B74B72">
        <w:rPr>
          <w:noProof/>
          <w:lang w:val="fr-CA"/>
        </w:rPr>
        <w:t xml:space="preserve">la vigueur de la classe moyenne </w:t>
      </w:r>
      <w:r w:rsidR="00CE323F">
        <w:rPr>
          <w:noProof/>
          <w:lang w:val="fr-CA"/>
        </w:rPr>
        <w:t xml:space="preserve">revêt </w:t>
      </w:r>
      <w:r w:rsidR="00E63B09" w:rsidRPr="00B74B72">
        <w:rPr>
          <w:noProof/>
          <w:lang w:val="fr-CA"/>
        </w:rPr>
        <w:t xml:space="preserve">une importance vitale comme baromètre du succès </w:t>
      </w:r>
      <w:r w:rsidR="00E63B09">
        <w:rPr>
          <w:noProof/>
          <w:lang w:val="fr-CA"/>
        </w:rPr>
        <w:t>et</w:t>
      </w:r>
      <w:r w:rsidR="00E63B09" w:rsidRPr="00E63B09">
        <w:rPr>
          <w:noProof/>
          <w:lang w:val="fr-CA"/>
        </w:rPr>
        <w:t xml:space="preserve"> </w:t>
      </w:r>
      <w:r w:rsidR="00E63B09">
        <w:rPr>
          <w:noProof/>
          <w:lang w:val="fr-CA"/>
        </w:rPr>
        <w:t xml:space="preserve">de la prospérité de la société. </w:t>
      </w:r>
      <w:r w:rsidR="00CE323F">
        <w:rPr>
          <w:noProof/>
          <w:lang w:val="fr-CA"/>
        </w:rPr>
        <w:t>Dans c</w:t>
      </w:r>
      <w:r w:rsidR="00E63B09">
        <w:rPr>
          <w:noProof/>
          <w:lang w:val="fr-CA"/>
        </w:rPr>
        <w:t>es groupes</w:t>
      </w:r>
      <w:r w:rsidR="00CE323F">
        <w:rPr>
          <w:noProof/>
          <w:lang w:val="fr-CA"/>
        </w:rPr>
        <w:t xml:space="preserve">, beaucoup avaient la ferme conviction </w:t>
      </w:r>
      <w:r w:rsidRPr="00B74B72">
        <w:rPr>
          <w:noProof/>
          <w:lang w:val="fr-CA"/>
        </w:rPr>
        <w:t>que le gouvernement devrait mettre l’accent sur cet objectif. D</w:t>
      </w:r>
      <w:r w:rsidR="00CE323F">
        <w:rPr>
          <w:noProof/>
          <w:lang w:val="fr-CA"/>
        </w:rPr>
        <w:t>ans d’autres groupes, l’opinion majoritaire voulait</w:t>
      </w:r>
      <w:r w:rsidRPr="00B74B72">
        <w:rPr>
          <w:noProof/>
          <w:lang w:val="fr-CA"/>
        </w:rPr>
        <w:t xml:space="preserve"> que les personnes à faible revenu </w:t>
      </w:r>
      <w:r w:rsidR="00CE323F">
        <w:rPr>
          <w:noProof/>
          <w:lang w:val="fr-CA"/>
        </w:rPr>
        <w:t>soient</w:t>
      </w:r>
      <w:r w:rsidRPr="00B74B72">
        <w:rPr>
          <w:noProof/>
          <w:lang w:val="fr-CA"/>
        </w:rPr>
        <w:t xml:space="preserve"> celles qui ont le plus besoin du soutien du gouvernement</w:t>
      </w:r>
      <w:r w:rsidR="00AD7D5A" w:rsidRPr="00B74B72">
        <w:rPr>
          <w:noProof/>
          <w:lang w:val="fr-CA"/>
        </w:rPr>
        <w:t xml:space="preserve">. </w:t>
      </w:r>
    </w:p>
    <w:p w14:paraId="6B6CA369" w14:textId="2CDBFD86" w:rsidR="00AD7D5A" w:rsidRPr="00B74B72" w:rsidRDefault="00CD40B3" w:rsidP="00AD7D5A">
      <w:pPr>
        <w:rPr>
          <w:b/>
          <w:noProof/>
          <w:lang w:val="fr-CA"/>
        </w:rPr>
      </w:pPr>
      <w:r>
        <w:rPr>
          <w:b/>
          <w:noProof/>
          <w:lang w:val="fr-CA"/>
        </w:rPr>
        <w:t>G</w:t>
      </w:r>
      <w:r w:rsidR="00552EAB" w:rsidRPr="00B74B72">
        <w:rPr>
          <w:b/>
          <w:noProof/>
          <w:lang w:val="fr-CA"/>
        </w:rPr>
        <w:t>arde</w:t>
      </w:r>
      <w:r w:rsidR="00CE323F">
        <w:rPr>
          <w:b/>
          <w:noProof/>
          <w:lang w:val="fr-CA"/>
        </w:rPr>
        <w:t xml:space="preserve"> d’enfants</w:t>
      </w:r>
      <w:r w:rsidR="00552EAB" w:rsidRPr="00B74B72">
        <w:rPr>
          <w:b/>
          <w:noProof/>
          <w:lang w:val="fr-CA"/>
        </w:rPr>
        <w:t xml:space="preserve"> </w:t>
      </w:r>
      <w:r w:rsidR="00AD7D5A" w:rsidRPr="00B74B72">
        <w:rPr>
          <w:b/>
          <w:noProof/>
          <w:lang w:val="fr-CA"/>
        </w:rPr>
        <w:t>(Hamilton, Trois-Rivières, Kentville)</w:t>
      </w:r>
    </w:p>
    <w:p w14:paraId="4AAB5831" w14:textId="7D80851D" w:rsidR="00037373" w:rsidRPr="00B74B72" w:rsidRDefault="00037373" w:rsidP="00037373">
      <w:pPr>
        <w:rPr>
          <w:noProof/>
          <w:lang w:val="fr-CA"/>
        </w:rPr>
      </w:pPr>
      <w:r w:rsidRPr="00B74B72">
        <w:rPr>
          <w:noProof/>
          <w:lang w:val="fr-CA"/>
        </w:rPr>
        <w:t>En ce qui concerne les services de garde</w:t>
      </w:r>
      <w:r w:rsidR="00CE323F">
        <w:rPr>
          <w:noProof/>
          <w:lang w:val="fr-CA"/>
        </w:rPr>
        <w:t xml:space="preserve"> d’enfants</w:t>
      </w:r>
      <w:r w:rsidRPr="00B74B72">
        <w:rPr>
          <w:noProof/>
          <w:lang w:val="fr-CA"/>
        </w:rPr>
        <w:t>, l</w:t>
      </w:r>
      <w:r w:rsidR="002664BA">
        <w:rPr>
          <w:noProof/>
          <w:lang w:val="fr-CA"/>
        </w:rPr>
        <w:t xml:space="preserve">e </w:t>
      </w:r>
      <w:r w:rsidR="00A02738">
        <w:rPr>
          <w:noProof/>
          <w:lang w:val="fr-CA"/>
        </w:rPr>
        <w:t xml:space="preserve">principal </w:t>
      </w:r>
      <w:r w:rsidR="002B3DA4">
        <w:rPr>
          <w:noProof/>
          <w:lang w:val="fr-CA"/>
        </w:rPr>
        <w:t>problème</w:t>
      </w:r>
      <w:r w:rsidR="002664BA">
        <w:rPr>
          <w:noProof/>
          <w:lang w:val="fr-CA"/>
        </w:rPr>
        <w:t xml:space="preserve"> </w:t>
      </w:r>
      <w:r w:rsidRPr="00B74B72">
        <w:rPr>
          <w:noProof/>
          <w:lang w:val="fr-CA"/>
        </w:rPr>
        <w:t xml:space="preserve">des participants </w:t>
      </w:r>
      <w:r w:rsidR="00A02738">
        <w:rPr>
          <w:noProof/>
          <w:lang w:val="fr-CA"/>
        </w:rPr>
        <w:t>de</w:t>
      </w:r>
      <w:r w:rsidRPr="00B74B72">
        <w:rPr>
          <w:noProof/>
          <w:lang w:val="fr-CA"/>
        </w:rPr>
        <w:t xml:space="preserve"> Hamilton </w:t>
      </w:r>
      <w:r w:rsidR="00A02738">
        <w:rPr>
          <w:noProof/>
          <w:lang w:val="fr-CA"/>
        </w:rPr>
        <w:t>et de</w:t>
      </w:r>
      <w:r w:rsidRPr="00B74B72">
        <w:rPr>
          <w:noProof/>
          <w:lang w:val="fr-CA"/>
        </w:rPr>
        <w:t xml:space="preserve"> Kentville </w:t>
      </w:r>
      <w:r w:rsidR="00A02738">
        <w:rPr>
          <w:noProof/>
          <w:lang w:val="fr-CA"/>
        </w:rPr>
        <w:t>avait trait</w:t>
      </w:r>
      <w:r w:rsidRPr="00B74B72">
        <w:rPr>
          <w:noProof/>
          <w:lang w:val="fr-CA"/>
        </w:rPr>
        <w:t xml:space="preserve"> </w:t>
      </w:r>
      <w:r w:rsidR="00A02738">
        <w:rPr>
          <w:noProof/>
          <w:lang w:val="fr-CA"/>
        </w:rPr>
        <w:t>à</w:t>
      </w:r>
      <w:r w:rsidRPr="00B74B72">
        <w:rPr>
          <w:noProof/>
          <w:lang w:val="fr-CA"/>
        </w:rPr>
        <w:t xml:space="preserve"> l’abordabilité. La qualité des services a </w:t>
      </w:r>
      <w:r w:rsidR="00A02738">
        <w:rPr>
          <w:noProof/>
          <w:lang w:val="fr-CA"/>
        </w:rPr>
        <w:t>également</w:t>
      </w:r>
      <w:r w:rsidRPr="00B74B72">
        <w:rPr>
          <w:noProof/>
          <w:lang w:val="fr-CA"/>
        </w:rPr>
        <w:t xml:space="preserve"> retenu l’attention à Kentville, </w:t>
      </w:r>
      <w:r w:rsidR="00A02738">
        <w:rPr>
          <w:noProof/>
          <w:lang w:val="fr-CA"/>
        </w:rPr>
        <w:t>et dans une moindre mesure</w:t>
      </w:r>
      <w:r w:rsidRPr="00B74B72">
        <w:rPr>
          <w:noProof/>
          <w:lang w:val="fr-CA"/>
        </w:rPr>
        <w:t xml:space="preserve"> à Hamilton et à Trois-Rivières. </w:t>
      </w:r>
      <w:r w:rsidR="002B3DA4">
        <w:rPr>
          <w:noProof/>
          <w:lang w:val="fr-CA"/>
        </w:rPr>
        <w:t>Si p</w:t>
      </w:r>
      <w:r w:rsidRPr="00B74B72">
        <w:rPr>
          <w:noProof/>
          <w:lang w:val="fr-CA"/>
        </w:rPr>
        <w:t xml:space="preserve">lusieurs participants ont souligné l’importance de réduire les listes d’attente pour les places en garderie, ce point a été au premier rang des préoccupations </w:t>
      </w:r>
      <w:r w:rsidR="002B3DA4">
        <w:rPr>
          <w:noProof/>
          <w:lang w:val="fr-CA"/>
        </w:rPr>
        <w:t>chez les répondants de</w:t>
      </w:r>
      <w:r w:rsidRPr="00B74B72">
        <w:rPr>
          <w:noProof/>
          <w:lang w:val="fr-CA"/>
        </w:rPr>
        <w:t xml:space="preserve"> Trois-Rivières</w:t>
      </w:r>
      <w:r w:rsidR="00A02738">
        <w:rPr>
          <w:noProof/>
          <w:lang w:val="fr-CA"/>
        </w:rPr>
        <w:t>. Le groupe d’</w:t>
      </w:r>
      <w:r w:rsidRPr="00B74B72">
        <w:rPr>
          <w:noProof/>
          <w:lang w:val="fr-CA"/>
        </w:rPr>
        <w:t>hommes</w:t>
      </w:r>
      <w:r w:rsidR="00A02738">
        <w:rPr>
          <w:noProof/>
          <w:lang w:val="fr-CA"/>
        </w:rPr>
        <w:t xml:space="preserve"> aussi </w:t>
      </w:r>
      <w:r w:rsidRPr="00B74B72">
        <w:rPr>
          <w:noProof/>
          <w:lang w:val="fr-CA"/>
        </w:rPr>
        <w:t xml:space="preserve">souhaitait que la création de places de garderie soit une priorité. </w:t>
      </w:r>
      <w:r w:rsidR="002B3DA4">
        <w:rPr>
          <w:noProof/>
          <w:lang w:val="fr-CA"/>
        </w:rPr>
        <w:t>Cela dit, l</w:t>
      </w:r>
      <w:r w:rsidRPr="00B74B72">
        <w:rPr>
          <w:noProof/>
          <w:lang w:val="fr-CA"/>
        </w:rPr>
        <w:t xml:space="preserve">’insistance sur l’abordabilité dans deux des trois villes </w:t>
      </w:r>
      <w:r w:rsidR="002B3DA4">
        <w:rPr>
          <w:noProof/>
          <w:lang w:val="fr-CA"/>
        </w:rPr>
        <w:t>cadrait</w:t>
      </w:r>
      <w:r w:rsidRPr="00B74B72">
        <w:rPr>
          <w:noProof/>
          <w:lang w:val="fr-CA"/>
        </w:rPr>
        <w:t xml:space="preserve"> </w:t>
      </w:r>
      <w:r w:rsidR="002B3DA4">
        <w:rPr>
          <w:noProof/>
          <w:lang w:val="fr-CA"/>
        </w:rPr>
        <w:t>avec</w:t>
      </w:r>
      <w:r w:rsidRPr="00B74B72">
        <w:rPr>
          <w:noProof/>
          <w:lang w:val="fr-CA"/>
        </w:rPr>
        <w:t xml:space="preserve"> l’importance perçue des frais de garderie dans ces provinces (Ontario et Nouvelle-Écosse), surtout pour les familles à revenu modeste </w:t>
      </w:r>
      <w:r w:rsidR="0010052D">
        <w:rPr>
          <w:noProof/>
          <w:lang w:val="fr-CA"/>
        </w:rPr>
        <w:t>souhaitant</w:t>
      </w:r>
      <w:r w:rsidRPr="00B74B72">
        <w:rPr>
          <w:noProof/>
          <w:lang w:val="fr-CA"/>
        </w:rPr>
        <w:t xml:space="preserve"> faire garder plus d’un enfant. Certains participants ont confié que ces coûts élevés compliquaient la décision de rester </w:t>
      </w:r>
      <w:r w:rsidR="002664BA">
        <w:rPr>
          <w:noProof/>
          <w:lang w:val="fr-CA"/>
        </w:rPr>
        <w:t xml:space="preserve">ou non </w:t>
      </w:r>
      <w:r w:rsidRPr="00B74B72">
        <w:rPr>
          <w:noProof/>
          <w:lang w:val="fr-CA"/>
        </w:rPr>
        <w:t xml:space="preserve">sur le marché du travail. </w:t>
      </w:r>
    </w:p>
    <w:p w14:paraId="02F8C9CF" w14:textId="48F35D5C" w:rsidR="00AD7D5A" w:rsidRPr="00B74B72" w:rsidRDefault="00037373" w:rsidP="00037373">
      <w:pPr>
        <w:rPr>
          <w:noProof/>
          <w:lang w:val="fr-CA"/>
        </w:rPr>
      </w:pPr>
      <w:r w:rsidRPr="00B74B72">
        <w:rPr>
          <w:noProof/>
          <w:lang w:val="fr-CA"/>
        </w:rPr>
        <w:t>Lorsqu</w:t>
      </w:r>
      <w:r w:rsidR="00E10870">
        <w:rPr>
          <w:noProof/>
          <w:lang w:val="fr-CA"/>
        </w:rPr>
        <w:t>e nous</w:t>
      </w:r>
      <w:r w:rsidRPr="00B74B72">
        <w:rPr>
          <w:noProof/>
          <w:lang w:val="fr-CA"/>
        </w:rPr>
        <w:t xml:space="preserve"> leur a</w:t>
      </w:r>
      <w:r w:rsidR="00E10870">
        <w:rPr>
          <w:noProof/>
          <w:lang w:val="fr-CA"/>
        </w:rPr>
        <w:t>vons</w:t>
      </w:r>
      <w:r w:rsidRPr="00B74B72">
        <w:rPr>
          <w:noProof/>
          <w:lang w:val="fr-CA"/>
        </w:rPr>
        <w:t xml:space="preserve"> demandé si le gouvernement devrait </w:t>
      </w:r>
      <w:r w:rsidR="002B3DA4">
        <w:rPr>
          <w:noProof/>
          <w:lang w:val="fr-CA"/>
        </w:rPr>
        <w:t>a</w:t>
      </w:r>
      <w:r w:rsidRPr="00B74B72">
        <w:rPr>
          <w:noProof/>
          <w:lang w:val="fr-CA"/>
        </w:rPr>
        <w:t xml:space="preserve">méliorer la disponibilité et la qualité des services de garde d’enfants avant ou après l’école OU </w:t>
      </w:r>
      <w:r w:rsidR="0010052D">
        <w:rPr>
          <w:noProof/>
          <w:lang w:val="fr-CA"/>
        </w:rPr>
        <w:t xml:space="preserve">améliorer </w:t>
      </w:r>
      <w:r w:rsidRPr="00B74B72">
        <w:rPr>
          <w:noProof/>
          <w:lang w:val="fr-CA"/>
        </w:rPr>
        <w:t>les services de garde d’enfants d’âge préscolaire, les participants ont émis des points de vue partagés. Certains trouvaient plus important d’offrir des activités parascolaires structurées afin que les enfants ne soient pas laissés à eux-mêmes et pour mieux tenir compte de l’horaire des parents, surtout ceux qui travaillent par quart. D’autres estimaient plus important d’améliorer les services préscolaires, afin de donner aux enfants de bonnes bases dans un environnement plus organisé, à un âge où ils sont vulnérables et à un stade déterminant de leur développement</w:t>
      </w:r>
      <w:r w:rsidR="002E5D83" w:rsidRPr="00B74B72">
        <w:rPr>
          <w:noProof/>
          <w:lang w:val="fr-CA"/>
        </w:rPr>
        <w:t xml:space="preserve">. </w:t>
      </w:r>
    </w:p>
    <w:p w14:paraId="2932D75A" w14:textId="04F50851" w:rsidR="00AD7D5A" w:rsidRPr="00B74B72" w:rsidRDefault="00037373" w:rsidP="00AD7D5A">
      <w:pPr>
        <w:rPr>
          <w:b/>
          <w:noProof/>
          <w:lang w:val="fr-CA"/>
        </w:rPr>
      </w:pPr>
      <w:r w:rsidRPr="00B74B72">
        <w:rPr>
          <w:b/>
          <w:noProof/>
          <w:lang w:val="fr-CA"/>
        </w:rPr>
        <w:t>Soins de santé</w:t>
      </w:r>
      <w:r w:rsidR="00AD7D5A" w:rsidRPr="00B74B72">
        <w:rPr>
          <w:b/>
          <w:noProof/>
          <w:lang w:val="fr-CA"/>
        </w:rPr>
        <w:t xml:space="preserve"> (Kentville)</w:t>
      </w:r>
    </w:p>
    <w:p w14:paraId="217ECDAB" w14:textId="50271CB5" w:rsidR="00037373" w:rsidRPr="00B74B72" w:rsidRDefault="007D72D3" w:rsidP="00037373">
      <w:pPr>
        <w:rPr>
          <w:noProof/>
          <w:lang w:val="fr-CA"/>
        </w:rPr>
      </w:pPr>
      <w:r>
        <w:rPr>
          <w:noProof/>
          <w:lang w:val="fr-CA"/>
        </w:rPr>
        <w:t>De toute évidence, les</w:t>
      </w:r>
      <w:r w:rsidR="00037373" w:rsidRPr="00B74B72">
        <w:rPr>
          <w:noProof/>
          <w:lang w:val="fr-CA"/>
        </w:rPr>
        <w:t xml:space="preserve"> soins de santé </w:t>
      </w:r>
      <w:r>
        <w:rPr>
          <w:noProof/>
          <w:lang w:val="fr-CA"/>
        </w:rPr>
        <w:t>étaient un sujet d’inquiétude de premier plan à Kentville</w:t>
      </w:r>
      <w:r w:rsidR="00037373" w:rsidRPr="00B74B72">
        <w:rPr>
          <w:noProof/>
          <w:lang w:val="fr-CA"/>
        </w:rPr>
        <w:t xml:space="preserve">. </w:t>
      </w:r>
      <w:r>
        <w:rPr>
          <w:noProof/>
          <w:lang w:val="fr-CA"/>
        </w:rPr>
        <w:t>Il y a été question</w:t>
      </w:r>
      <w:r w:rsidR="00037373" w:rsidRPr="00B74B72">
        <w:rPr>
          <w:noProof/>
          <w:lang w:val="fr-CA"/>
        </w:rPr>
        <w:t xml:space="preserve"> </w:t>
      </w:r>
      <w:r>
        <w:rPr>
          <w:noProof/>
          <w:lang w:val="fr-CA"/>
        </w:rPr>
        <w:t>de</w:t>
      </w:r>
      <w:r w:rsidR="00037373" w:rsidRPr="00B74B72">
        <w:rPr>
          <w:noProof/>
          <w:lang w:val="fr-CA"/>
        </w:rPr>
        <w:t xml:space="preserve"> la pénurie de médecins et de personnel infirmier, </w:t>
      </w:r>
      <w:r>
        <w:rPr>
          <w:noProof/>
          <w:lang w:val="fr-CA"/>
        </w:rPr>
        <w:t>des</w:t>
      </w:r>
      <w:r w:rsidR="00037373" w:rsidRPr="00B74B72">
        <w:rPr>
          <w:noProof/>
          <w:lang w:val="fr-CA"/>
        </w:rPr>
        <w:t xml:space="preserve"> temps d’attente prolongés</w:t>
      </w:r>
      <w:r w:rsidR="00026CAD">
        <w:rPr>
          <w:noProof/>
          <w:lang w:val="fr-CA"/>
        </w:rPr>
        <w:t>,</w:t>
      </w:r>
      <w:r>
        <w:rPr>
          <w:noProof/>
          <w:lang w:val="fr-CA"/>
        </w:rPr>
        <w:t xml:space="preserve"> de</w:t>
      </w:r>
      <w:r w:rsidR="00037373" w:rsidRPr="00B74B72">
        <w:rPr>
          <w:noProof/>
          <w:lang w:val="fr-CA"/>
        </w:rPr>
        <w:t xml:space="preserve"> l’accès limité aux soins primaires</w:t>
      </w:r>
      <w:r w:rsidR="00026CAD">
        <w:rPr>
          <w:noProof/>
          <w:lang w:val="fr-CA"/>
        </w:rPr>
        <w:t xml:space="preserve"> </w:t>
      </w:r>
      <w:r w:rsidR="00037373" w:rsidRPr="00B74B72">
        <w:rPr>
          <w:noProof/>
          <w:lang w:val="fr-CA"/>
        </w:rPr>
        <w:t xml:space="preserve">ainsi que </w:t>
      </w:r>
      <w:r>
        <w:rPr>
          <w:noProof/>
          <w:lang w:val="fr-CA"/>
        </w:rPr>
        <w:t>du</w:t>
      </w:r>
      <w:r w:rsidR="00037373" w:rsidRPr="00B74B72">
        <w:rPr>
          <w:noProof/>
          <w:lang w:val="fr-CA"/>
        </w:rPr>
        <w:t xml:space="preserve"> manque d’hôpita</w:t>
      </w:r>
      <w:r>
        <w:rPr>
          <w:noProof/>
          <w:lang w:val="fr-CA"/>
        </w:rPr>
        <w:t>ux</w:t>
      </w:r>
      <w:r w:rsidR="00037373" w:rsidRPr="00B74B72">
        <w:rPr>
          <w:noProof/>
          <w:lang w:val="fr-CA"/>
        </w:rPr>
        <w:t xml:space="preserve"> et d’établissements de soins de longue durée. Le manque de services et de soutiens dédiés à la santé mental</w:t>
      </w:r>
      <w:r w:rsidR="008B28E5">
        <w:rPr>
          <w:noProof/>
          <w:lang w:val="fr-CA"/>
        </w:rPr>
        <w:t>e</w:t>
      </w:r>
      <w:r w:rsidR="00037373" w:rsidRPr="00B74B72">
        <w:rPr>
          <w:noProof/>
          <w:lang w:val="fr-CA"/>
        </w:rPr>
        <w:t xml:space="preserve"> et à la toxicomanie était également très présent à l’esprit des participants. Peu de gens étaient au courant </w:t>
      </w:r>
      <w:r w:rsidR="00026CAD">
        <w:rPr>
          <w:noProof/>
          <w:lang w:val="fr-CA"/>
        </w:rPr>
        <w:t>d’annonces</w:t>
      </w:r>
      <w:r w:rsidR="00037373" w:rsidRPr="00B74B72">
        <w:rPr>
          <w:noProof/>
          <w:lang w:val="fr-CA"/>
        </w:rPr>
        <w:t xml:space="preserve"> du gouvernement fédéral visant à régler ces problèmes ou à améliorer les soins de santé en général. </w:t>
      </w:r>
    </w:p>
    <w:p w14:paraId="18A4ECF8" w14:textId="6C9036C9" w:rsidR="00037373" w:rsidRPr="00B74B72" w:rsidRDefault="00037373" w:rsidP="00037373">
      <w:pPr>
        <w:rPr>
          <w:noProof/>
          <w:lang w:val="fr-CA"/>
        </w:rPr>
      </w:pPr>
      <w:r w:rsidRPr="00B74B72">
        <w:rPr>
          <w:rFonts w:eastAsia="Calibri" w:cs="Times New Roman"/>
          <w:noProof/>
          <w:color w:val="5A5B5E"/>
          <w:lang w:val="fr-CA"/>
        </w:rPr>
        <w:t>Lorsqu</w:t>
      </w:r>
      <w:r w:rsidR="00E10870">
        <w:rPr>
          <w:rFonts w:eastAsia="Calibri" w:cs="Times New Roman"/>
          <w:noProof/>
          <w:color w:val="5A5B5E"/>
          <w:lang w:val="fr-CA"/>
        </w:rPr>
        <w:t xml:space="preserve">’ils ont examiné </w:t>
      </w:r>
      <w:r w:rsidRPr="00B74B72">
        <w:rPr>
          <w:rFonts w:eastAsia="Calibri" w:cs="Times New Roman"/>
          <w:noProof/>
          <w:color w:val="5A5B5E"/>
          <w:lang w:val="fr-CA"/>
        </w:rPr>
        <w:t>une liste de priorités possibles du gouvernement du Canada en matière de santé</w:t>
      </w:r>
      <w:r w:rsidR="00026CAD">
        <w:rPr>
          <w:rFonts w:eastAsia="Calibri" w:cs="Times New Roman"/>
          <w:noProof/>
          <w:color w:val="5A5B5E"/>
          <w:lang w:val="fr-CA"/>
        </w:rPr>
        <w:t xml:space="preserve"> (faisant mention des</w:t>
      </w:r>
      <w:r w:rsidRPr="00B74B72">
        <w:rPr>
          <w:rFonts w:eastAsia="Calibri" w:cs="Times New Roman"/>
          <w:noProof/>
          <w:color w:val="5A5B5E"/>
          <w:lang w:val="fr-CA"/>
        </w:rPr>
        <w:t xml:space="preserve"> préoccupations énumérées plus haut</w:t>
      </w:r>
      <w:r w:rsidR="00026CAD">
        <w:rPr>
          <w:rFonts w:eastAsia="Calibri" w:cs="Times New Roman"/>
          <w:noProof/>
          <w:color w:val="5A5B5E"/>
          <w:lang w:val="fr-CA"/>
        </w:rPr>
        <w:t>)</w:t>
      </w:r>
      <w:r w:rsidRPr="00B74B72">
        <w:rPr>
          <w:rFonts w:eastAsia="Calibri" w:cs="Times New Roman"/>
          <w:noProof/>
          <w:color w:val="5A5B5E"/>
          <w:lang w:val="fr-CA"/>
        </w:rPr>
        <w:t xml:space="preserve">, la majorité des participants ont </w:t>
      </w:r>
      <w:r w:rsidR="00026CAD">
        <w:rPr>
          <w:rFonts w:eastAsia="Calibri" w:cs="Times New Roman"/>
          <w:noProof/>
          <w:color w:val="5A5B5E"/>
          <w:lang w:val="fr-CA"/>
        </w:rPr>
        <w:t>retenu</w:t>
      </w:r>
      <w:r w:rsidRPr="00B74B72">
        <w:rPr>
          <w:rFonts w:eastAsia="Calibri" w:cs="Times New Roman"/>
          <w:noProof/>
          <w:color w:val="5A5B5E"/>
          <w:lang w:val="fr-CA"/>
        </w:rPr>
        <w:t xml:space="preserve"> la pénurie de médecins et de personnel infirmier et la réduction des temps d’attente (point davantage signalé par les femmes)</w:t>
      </w:r>
      <w:r w:rsidR="00026CAD" w:rsidRPr="00026CAD">
        <w:rPr>
          <w:rFonts w:eastAsia="Calibri" w:cs="Times New Roman"/>
          <w:noProof/>
          <w:color w:val="5A5B5E"/>
          <w:lang w:val="fr-CA"/>
        </w:rPr>
        <w:t xml:space="preserve"> </w:t>
      </w:r>
      <w:r w:rsidR="00026CAD" w:rsidRPr="00B74B72">
        <w:rPr>
          <w:rFonts w:eastAsia="Calibri" w:cs="Times New Roman"/>
          <w:noProof/>
          <w:color w:val="5A5B5E"/>
          <w:lang w:val="fr-CA"/>
        </w:rPr>
        <w:t>à titre de grandes priorités</w:t>
      </w:r>
      <w:r w:rsidRPr="00B74B72">
        <w:rPr>
          <w:noProof/>
          <w:lang w:val="fr-CA"/>
        </w:rPr>
        <w:t xml:space="preserve">. L’amélioration de l’accès aux médicaments d’ordonnance a aussi été largement plébiscitée, en particulier et de façon spontanée par les hommes. La plupart des participants considéraient que l’accès à des moyens de contraception abordables ne devrait pas faire partie des priorités du gouvernement du Canada, ces produits étant déjà accessibles à un prix </w:t>
      </w:r>
      <w:r w:rsidR="0010052D">
        <w:rPr>
          <w:noProof/>
          <w:lang w:val="fr-CA"/>
        </w:rPr>
        <w:t>modique</w:t>
      </w:r>
      <w:r w:rsidRPr="00B74B72">
        <w:rPr>
          <w:noProof/>
          <w:lang w:val="fr-CA"/>
        </w:rPr>
        <w:t>.</w:t>
      </w:r>
    </w:p>
    <w:p w14:paraId="0A23A364" w14:textId="1F1A5C77" w:rsidR="00037373" w:rsidRPr="00B74B72" w:rsidRDefault="00026CAD" w:rsidP="00037373">
      <w:pPr>
        <w:rPr>
          <w:noProof/>
          <w:lang w:val="fr-CA"/>
        </w:rPr>
      </w:pPr>
      <w:r>
        <w:rPr>
          <w:noProof/>
          <w:lang w:val="fr-CA"/>
        </w:rPr>
        <w:t xml:space="preserve">Au chapitre des </w:t>
      </w:r>
      <w:r w:rsidR="00037373" w:rsidRPr="00B74B72">
        <w:rPr>
          <w:noProof/>
          <w:lang w:val="fr-CA"/>
        </w:rPr>
        <w:t>médicaments</w:t>
      </w:r>
      <w:r>
        <w:rPr>
          <w:noProof/>
          <w:lang w:val="fr-CA"/>
        </w:rPr>
        <w:t xml:space="preserve"> d’ordonnance</w:t>
      </w:r>
      <w:r w:rsidR="00037373" w:rsidRPr="00B74B72">
        <w:rPr>
          <w:noProof/>
          <w:lang w:val="fr-CA"/>
        </w:rPr>
        <w:t>, peu de participants avaient entendu parler d’une initiative du gouvernement du Canada visant à assurer un acc</w:t>
      </w:r>
      <w:r w:rsidR="008B28E5">
        <w:rPr>
          <w:noProof/>
          <w:lang w:val="fr-CA"/>
        </w:rPr>
        <w:t>è</w:t>
      </w:r>
      <w:r w:rsidR="00037373" w:rsidRPr="00B74B72">
        <w:rPr>
          <w:noProof/>
          <w:lang w:val="fr-CA"/>
        </w:rPr>
        <w:t xml:space="preserve">s abordable </w:t>
      </w:r>
      <w:r>
        <w:rPr>
          <w:noProof/>
          <w:lang w:val="fr-CA"/>
        </w:rPr>
        <w:t>à ces produits</w:t>
      </w:r>
      <w:r w:rsidR="00037373" w:rsidRPr="00B74B72">
        <w:rPr>
          <w:noProof/>
          <w:lang w:val="fr-CA"/>
        </w:rPr>
        <w:t xml:space="preserve">, mais la plupart </w:t>
      </w:r>
      <w:r w:rsidR="008E7C21">
        <w:rPr>
          <w:noProof/>
          <w:lang w:val="fr-CA"/>
        </w:rPr>
        <w:t>ont trouvé l’idée bonne</w:t>
      </w:r>
      <w:r>
        <w:rPr>
          <w:noProof/>
          <w:lang w:val="fr-CA"/>
        </w:rPr>
        <w:t xml:space="preserve"> </w:t>
      </w:r>
      <w:r w:rsidR="00037373" w:rsidRPr="00B74B72">
        <w:rPr>
          <w:noProof/>
          <w:lang w:val="fr-CA"/>
        </w:rPr>
        <w:t xml:space="preserve">et presque tous ont </w:t>
      </w:r>
      <w:r w:rsidR="008E7C21">
        <w:rPr>
          <w:noProof/>
          <w:lang w:val="fr-CA"/>
        </w:rPr>
        <w:t>affirmé</w:t>
      </w:r>
      <w:r w:rsidR="00037373" w:rsidRPr="00B74B72">
        <w:rPr>
          <w:noProof/>
          <w:lang w:val="fr-CA"/>
        </w:rPr>
        <w:t xml:space="preserve"> </w:t>
      </w:r>
      <w:r w:rsidR="008E7C21">
        <w:rPr>
          <w:noProof/>
          <w:lang w:val="fr-CA"/>
        </w:rPr>
        <w:t>que la mise en œuvre d’un</w:t>
      </w:r>
      <w:r w:rsidR="00037373" w:rsidRPr="00B74B72">
        <w:rPr>
          <w:noProof/>
          <w:lang w:val="fr-CA"/>
        </w:rPr>
        <w:t xml:space="preserve"> tel programme aurait des effets positifs </w:t>
      </w:r>
      <w:r>
        <w:rPr>
          <w:noProof/>
          <w:lang w:val="fr-CA"/>
        </w:rPr>
        <w:t>sur</w:t>
      </w:r>
      <w:r w:rsidR="00037373" w:rsidRPr="00B74B72">
        <w:rPr>
          <w:noProof/>
          <w:lang w:val="fr-CA"/>
        </w:rPr>
        <w:t xml:space="preserve"> leur vie personnelle. </w:t>
      </w:r>
    </w:p>
    <w:p w14:paraId="02925598" w14:textId="38B81D44" w:rsidR="00506355" w:rsidRPr="00B74B72" w:rsidRDefault="00E10870" w:rsidP="00037373">
      <w:pPr>
        <w:rPr>
          <w:noProof/>
          <w:lang w:val="fr-CA"/>
        </w:rPr>
      </w:pPr>
      <w:r>
        <w:rPr>
          <w:noProof/>
          <w:lang w:val="fr-CA"/>
        </w:rPr>
        <w:t>Invités à</w:t>
      </w:r>
      <w:r w:rsidR="00037373" w:rsidRPr="00B74B72">
        <w:rPr>
          <w:noProof/>
          <w:lang w:val="fr-CA"/>
        </w:rPr>
        <w:t xml:space="preserve"> </w:t>
      </w:r>
      <w:r w:rsidR="00037373" w:rsidRPr="00B74B72">
        <w:rPr>
          <w:rFonts w:eastAsia="Calibri" w:cs="Times New Roman"/>
          <w:noProof/>
          <w:color w:val="5A5B5E"/>
          <w:lang w:val="fr-CA"/>
        </w:rPr>
        <w:t>choisir un nom éventuel pour ce programme à partir d’une liste qui leur avait été fournie,</w:t>
      </w:r>
      <w:r w:rsidR="00037373" w:rsidRPr="00B74B72">
        <w:rPr>
          <w:noProof/>
          <w:lang w:val="fr-CA"/>
        </w:rPr>
        <w:t xml:space="preserve"> les participants ont classé aux trois premiers rangs «</w:t>
      </w:r>
      <w:r w:rsidR="001F684A">
        <w:rPr>
          <w:noProof/>
          <w:lang w:val="fr-CA"/>
        </w:rPr>
        <w:t> </w:t>
      </w:r>
      <w:r w:rsidR="00037373" w:rsidRPr="00B74B72">
        <w:rPr>
          <w:noProof/>
          <w:lang w:val="fr-CA"/>
        </w:rPr>
        <w:t>Universal Drug Care</w:t>
      </w:r>
      <w:r w:rsidR="001F684A">
        <w:rPr>
          <w:noProof/>
          <w:lang w:val="fr-CA"/>
        </w:rPr>
        <w:t> </w:t>
      </w:r>
      <w:r w:rsidR="00037373" w:rsidRPr="00B74B72">
        <w:rPr>
          <w:noProof/>
          <w:lang w:val="fr-CA"/>
        </w:rPr>
        <w:t>» (assurance-médicaments universelle), «</w:t>
      </w:r>
      <w:r w:rsidR="001F684A">
        <w:rPr>
          <w:noProof/>
          <w:lang w:val="fr-CA"/>
        </w:rPr>
        <w:t> </w:t>
      </w:r>
      <w:r w:rsidR="00037373" w:rsidRPr="00B74B72">
        <w:rPr>
          <w:noProof/>
          <w:lang w:val="fr-CA"/>
        </w:rPr>
        <w:t>National Pharmacare Plan</w:t>
      </w:r>
      <w:r w:rsidR="001F684A">
        <w:rPr>
          <w:noProof/>
          <w:lang w:val="fr-CA"/>
        </w:rPr>
        <w:t> </w:t>
      </w:r>
      <w:r w:rsidR="00037373" w:rsidRPr="00B74B72">
        <w:rPr>
          <w:noProof/>
          <w:lang w:val="fr-CA"/>
        </w:rPr>
        <w:t>» (régime national d’assurance-médicaments) et «</w:t>
      </w:r>
      <w:r w:rsidR="001F684A">
        <w:rPr>
          <w:noProof/>
          <w:lang w:val="fr-CA"/>
        </w:rPr>
        <w:t> </w:t>
      </w:r>
      <w:r w:rsidR="00037373" w:rsidRPr="00B74B72">
        <w:rPr>
          <w:noProof/>
          <w:lang w:val="fr-CA"/>
        </w:rPr>
        <w:t>Prescription Access Plan</w:t>
      </w:r>
      <w:r w:rsidR="001F684A">
        <w:rPr>
          <w:noProof/>
          <w:lang w:val="fr-CA"/>
        </w:rPr>
        <w:t> </w:t>
      </w:r>
      <w:r w:rsidR="00037373" w:rsidRPr="00B74B72">
        <w:rPr>
          <w:noProof/>
          <w:lang w:val="fr-CA"/>
        </w:rPr>
        <w:t>» (régime d’accès aux médicaments sur ordonnance)</w:t>
      </w:r>
      <w:r w:rsidR="008E7C21">
        <w:rPr>
          <w:noProof/>
          <w:lang w:val="fr-CA"/>
        </w:rPr>
        <w:t>. A</w:t>
      </w:r>
      <w:r w:rsidR="00037373" w:rsidRPr="00B74B72">
        <w:rPr>
          <w:noProof/>
          <w:lang w:val="fr-CA"/>
        </w:rPr>
        <w:t>ucun des groupes n’est toutefois parvenu à un consensus quant à la «</w:t>
      </w:r>
      <w:r w:rsidR="001F684A">
        <w:rPr>
          <w:noProof/>
          <w:lang w:val="fr-CA"/>
        </w:rPr>
        <w:t> </w:t>
      </w:r>
      <w:r w:rsidR="00037373" w:rsidRPr="00B74B72">
        <w:rPr>
          <w:noProof/>
          <w:lang w:val="fr-CA"/>
        </w:rPr>
        <w:t>meilleure</w:t>
      </w:r>
      <w:r w:rsidR="001F684A">
        <w:rPr>
          <w:noProof/>
          <w:lang w:val="fr-CA"/>
        </w:rPr>
        <w:t> </w:t>
      </w:r>
      <w:r w:rsidR="00037373" w:rsidRPr="00B74B72">
        <w:rPr>
          <w:noProof/>
          <w:lang w:val="fr-CA"/>
        </w:rPr>
        <w:t>» option. De plus, les raisons ayant motivé le choix de ces noms plutôt que d’autres variaient beaucoup au sein des groupes</w:t>
      </w:r>
      <w:r w:rsidR="004C7119" w:rsidRPr="00B74B72">
        <w:rPr>
          <w:noProof/>
          <w:lang w:val="fr-CA"/>
        </w:rPr>
        <w:t xml:space="preserve">. </w:t>
      </w:r>
    </w:p>
    <w:p w14:paraId="287D8FF7" w14:textId="0D3168C1" w:rsidR="00AD7D5A" w:rsidRPr="00B74B72" w:rsidRDefault="006E24E5" w:rsidP="00AD7D5A">
      <w:pPr>
        <w:rPr>
          <w:b/>
          <w:noProof/>
          <w:lang w:val="fr-CA"/>
        </w:rPr>
      </w:pPr>
      <w:r>
        <w:rPr>
          <w:b/>
          <w:noProof/>
          <w:lang w:val="fr-CA"/>
        </w:rPr>
        <w:t>E</w:t>
      </w:r>
      <w:r w:rsidR="00037373" w:rsidRPr="00B74B72">
        <w:rPr>
          <w:b/>
          <w:noProof/>
          <w:lang w:val="fr-CA"/>
        </w:rPr>
        <w:t>nviron</w:t>
      </w:r>
      <w:r w:rsidR="008B28E5">
        <w:rPr>
          <w:b/>
          <w:noProof/>
          <w:lang w:val="fr-CA"/>
        </w:rPr>
        <w:t>ne</w:t>
      </w:r>
      <w:r w:rsidR="00037373" w:rsidRPr="00B74B72">
        <w:rPr>
          <w:b/>
          <w:noProof/>
          <w:lang w:val="fr-CA"/>
        </w:rPr>
        <w:t xml:space="preserve">ment </w:t>
      </w:r>
      <w:r w:rsidR="00AD7D5A" w:rsidRPr="00B74B72">
        <w:rPr>
          <w:b/>
          <w:noProof/>
          <w:lang w:val="fr-CA"/>
        </w:rPr>
        <w:t>(Hamilton, Trois-Rivières, Iqaluit, Kentville)</w:t>
      </w:r>
    </w:p>
    <w:p w14:paraId="128A56D7" w14:textId="015F62AD" w:rsidR="00037373" w:rsidRPr="00B74B72" w:rsidRDefault="00670645" w:rsidP="00037373">
      <w:pPr>
        <w:rPr>
          <w:noProof/>
          <w:lang w:val="fr-CA"/>
        </w:rPr>
      </w:pPr>
      <w:r>
        <w:rPr>
          <w:noProof/>
          <w:lang w:val="fr-CA"/>
        </w:rPr>
        <w:t xml:space="preserve">Les </w:t>
      </w:r>
      <w:r w:rsidR="00037373" w:rsidRPr="00B74B72">
        <w:rPr>
          <w:noProof/>
          <w:lang w:val="fr-CA"/>
        </w:rPr>
        <w:t xml:space="preserve">groupes </w:t>
      </w:r>
      <w:r>
        <w:rPr>
          <w:noProof/>
          <w:lang w:val="fr-CA"/>
        </w:rPr>
        <w:t>des quatre villes</w:t>
      </w:r>
      <w:r w:rsidR="00586660">
        <w:rPr>
          <w:noProof/>
          <w:lang w:val="fr-CA"/>
        </w:rPr>
        <w:t xml:space="preserve"> ont fait état de préoccupations</w:t>
      </w:r>
      <w:r w:rsidR="00285D8D">
        <w:rPr>
          <w:noProof/>
          <w:lang w:val="fr-CA"/>
        </w:rPr>
        <w:t xml:space="preserve"> très claires</w:t>
      </w:r>
      <w:r w:rsidR="00586660">
        <w:rPr>
          <w:noProof/>
          <w:lang w:val="fr-CA"/>
        </w:rPr>
        <w:t xml:space="preserve"> à l’égard de l’environnement,</w:t>
      </w:r>
      <w:r w:rsidR="00586660" w:rsidRPr="00586660">
        <w:rPr>
          <w:noProof/>
          <w:lang w:val="fr-CA"/>
        </w:rPr>
        <w:t xml:space="preserve"> </w:t>
      </w:r>
      <w:r w:rsidR="00586660" w:rsidRPr="00B74B72">
        <w:rPr>
          <w:noProof/>
          <w:lang w:val="fr-CA"/>
        </w:rPr>
        <w:t>dans une perspective tant locale que nationale</w:t>
      </w:r>
      <w:r w:rsidR="00037373" w:rsidRPr="00B74B72">
        <w:rPr>
          <w:noProof/>
          <w:lang w:val="fr-CA"/>
        </w:rPr>
        <w:t xml:space="preserve">. À l’échelle du pays, les questions environnementales les plus vives comptaient les changements climatiques, les émissions, la pollution et les catastrophes naturelles </w:t>
      </w:r>
      <w:r>
        <w:rPr>
          <w:noProof/>
          <w:lang w:val="fr-CA"/>
        </w:rPr>
        <w:t xml:space="preserve">comme les </w:t>
      </w:r>
      <w:r w:rsidR="00037373" w:rsidRPr="00B74B72">
        <w:rPr>
          <w:noProof/>
          <w:lang w:val="fr-CA"/>
        </w:rPr>
        <w:t>feux de forê</w:t>
      </w:r>
      <w:r>
        <w:rPr>
          <w:noProof/>
          <w:lang w:val="fr-CA"/>
        </w:rPr>
        <w:t xml:space="preserve">t ou les </w:t>
      </w:r>
      <w:r w:rsidR="00037373" w:rsidRPr="00B74B72">
        <w:rPr>
          <w:noProof/>
          <w:lang w:val="fr-CA"/>
        </w:rPr>
        <w:t xml:space="preserve">inondations. </w:t>
      </w:r>
      <w:r w:rsidR="00285D8D">
        <w:rPr>
          <w:noProof/>
          <w:lang w:val="fr-CA"/>
        </w:rPr>
        <w:t>De</w:t>
      </w:r>
      <w:r>
        <w:rPr>
          <w:noProof/>
          <w:lang w:val="fr-CA"/>
        </w:rPr>
        <w:t xml:space="preserve"> nombreuses voix se sont élevées pour dénoncer</w:t>
      </w:r>
      <w:r w:rsidR="00285D8D">
        <w:rPr>
          <w:noProof/>
          <w:lang w:val="fr-CA"/>
        </w:rPr>
        <w:t xml:space="preserve"> en particulier</w:t>
      </w:r>
      <w:r>
        <w:rPr>
          <w:noProof/>
          <w:lang w:val="fr-CA"/>
        </w:rPr>
        <w:t xml:space="preserve"> le</w:t>
      </w:r>
      <w:r w:rsidR="00037373" w:rsidRPr="00B74B72">
        <w:rPr>
          <w:noProof/>
          <w:lang w:val="fr-CA"/>
        </w:rPr>
        <w:t xml:space="preserve">s effets de la pollution sur les eaux du Canada </w:t>
      </w:r>
      <w:r w:rsidR="00FC3785">
        <w:rPr>
          <w:noProof/>
          <w:lang w:val="fr-CA"/>
        </w:rPr>
        <w:t>—</w:t>
      </w:r>
      <w:r>
        <w:rPr>
          <w:noProof/>
          <w:lang w:val="fr-CA"/>
        </w:rPr>
        <w:t xml:space="preserve"> sur</w:t>
      </w:r>
      <w:r w:rsidR="00037373" w:rsidRPr="00B74B72">
        <w:rPr>
          <w:noProof/>
          <w:lang w:val="fr-CA"/>
        </w:rPr>
        <w:t xml:space="preserve"> les lacs, les océans et la vie marine. </w:t>
      </w:r>
      <w:r>
        <w:rPr>
          <w:noProof/>
          <w:lang w:val="fr-CA"/>
        </w:rPr>
        <w:t>D’autres</w:t>
      </w:r>
      <w:r w:rsidR="00037373" w:rsidRPr="00B74B72">
        <w:rPr>
          <w:noProof/>
          <w:lang w:val="fr-CA"/>
        </w:rPr>
        <w:t xml:space="preserve"> ont </w:t>
      </w:r>
      <w:r>
        <w:rPr>
          <w:noProof/>
          <w:lang w:val="fr-CA"/>
        </w:rPr>
        <w:t xml:space="preserve">plutôt </w:t>
      </w:r>
      <w:r w:rsidR="00037373" w:rsidRPr="00B74B72">
        <w:rPr>
          <w:noProof/>
          <w:lang w:val="fr-CA"/>
        </w:rPr>
        <w:t xml:space="preserve">évoqué le problème des déchets et de leur gestion, </w:t>
      </w:r>
      <w:r>
        <w:rPr>
          <w:noProof/>
          <w:lang w:val="fr-CA"/>
        </w:rPr>
        <w:t xml:space="preserve">en citant </w:t>
      </w:r>
      <w:r w:rsidR="00037373" w:rsidRPr="00B74B72">
        <w:rPr>
          <w:noProof/>
          <w:lang w:val="fr-CA"/>
        </w:rPr>
        <w:t>notamment l’expor</w:t>
      </w:r>
      <w:r w:rsidR="008B28E5">
        <w:rPr>
          <w:noProof/>
          <w:lang w:val="fr-CA"/>
        </w:rPr>
        <w:t>t</w:t>
      </w:r>
      <w:r w:rsidR="00037373" w:rsidRPr="00B74B72">
        <w:rPr>
          <w:noProof/>
          <w:lang w:val="fr-CA"/>
        </w:rPr>
        <w:t xml:space="preserve">ation de déchets dans des pays en développement comme les Philippines. </w:t>
      </w:r>
    </w:p>
    <w:p w14:paraId="603235DE" w14:textId="1EB33065" w:rsidR="00037373" w:rsidRPr="00B74B72" w:rsidRDefault="00037373" w:rsidP="00037373">
      <w:pPr>
        <w:rPr>
          <w:noProof/>
          <w:lang w:val="fr-CA"/>
        </w:rPr>
      </w:pPr>
      <w:r w:rsidRPr="00B74B72">
        <w:rPr>
          <w:noProof/>
          <w:lang w:val="fr-CA"/>
        </w:rPr>
        <w:t xml:space="preserve">À l’échelle locale, les enjeux environnementaux ont varié en fonction du lieu. Alors que le réseau d’égout est arrivé en tête de liste à Iqaluit et à Kentville, </w:t>
      </w:r>
      <w:r w:rsidR="0005564F" w:rsidRPr="00B74B72">
        <w:rPr>
          <w:noProof/>
          <w:lang w:val="fr-CA"/>
        </w:rPr>
        <w:t>à Hamilton</w:t>
      </w:r>
      <w:r w:rsidR="0005564F">
        <w:rPr>
          <w:noProof/>
          <w:lang w:val="fr-CA"/>
        </w:rPr>
        <w:t>,</w:t>
      </w:r>
      <w:r w:rsidR="0005564F" w:rsidRPr="00B74B72">
        <w:rPr>
          <w:noProof/>
          <w:lang w:val="fr-CA"/>
        </w:rPr>
        <w:t xml:space="preserve"> </w:t>
      </w:r>
      <w:r w:rsidRPr="00B74B72">
        <w:rPr>
          <w:noProof/>
          <w:lang w:val="fr-CA"/>
        </w:rPr>
        <w:t xml:space="preserve">les préoccupations </w:t>
      </w:r>
      <w:r w:rsidR="00670645">
        <w:rPr>
          <w:noProof/>
          <w:lang w:val="fr-CA"/>
        </w:rPr>
        <w:t>tournaient autour de</w:t>
      </w:r>
      <w:r w:rsidRPr="00B74B72">
        <w:rPr>
          <w:noProof/>
          <w:lang w:val="fr-CA"/>
        </w:rPr>
        <w:t xml:space="preserve"> la pollution industrielle </w:t>
      </w:r>
      <w:r w:rsidR="00670645">
        <w:rPr>
          <w:noProof/>
          <w:lang w:val="fr-CA"/>
        </w:rPr>
        <w:t>de</w:t>
      </w:r>
      <w:r w:rsidRPr="00B74B72">
        <w:rPr>
          <w:noProof/>
          <w:lang w:val="fr-CA"/>
        </w:rPr>
        <w:t xml:space="preserve"> l’industrie sidérurgique locale. À Trois-Rivières, les pâtes et papiers, l’aluminium et d’autres industries</w:t>
      </w:r>
      <w:r w:rsidR="00670645">
        <w:rPr>
          <w:noProof/>
          <w:lang w:val="fr-CA"/>
        </w:rPr>
        <w:t xml:space="preserve"> ont été pointés du doigt</w:t>
      </w:r>
      <w:r w:rsidRPr="00B74B72">
        <w:rPr>
          <w:noProof/>
          <w:lang w:val="fr-CA"/>
        </w:rPr>
        <w:t xml:space="preserve">. </w:t>
      </w:r>
      <w:r w:rsidR="0005564F">
        <w:rPr>
          <w:noProof/>
          <w:lang w:val="fr-CA"/>
        </w:rPr>
        <w:t>L</w:t>
      </w:r>
      <w:r w:rsidRPr="00B74B72">
        <w:rPr>
          <w:noProof/>
          <w:lang w:val="fr-CA"/>
        </w:rPr>
        <w:t>es résidents d’Iqaluit ont</w:t>
      </w:r>
      <w:r w:rsidR="0005564F">
        <w:rPr>
          <w:noProof/>
          <w:lang w:val="fr-CA"/>
        </w:rPr>
        <w:t xml:space="preserve"> également</w:t>
      </w:r>
      <w:r w:rsidRPr="00B74B72">
        <w:rPr>
          <w:noProof/>
          <w:lang w:val="fr-CA"/>
        </w:rPr>
        <w:t xml:space="preserve"> </w:t>
      </w:r>
      <w:r w:rsidR="0005564F">
        <w:rPr>
          <w:noProof/>
          <w:lang w:val="fr-CA"/>
        </w:rPr>
        <w:t>noté</w:t>
      </w:r>
      <w:r w:rsidRPr="00B74B72">
        <w:rPr>
          <w:noProof/>
          <w:lang w:val="fr-CA"/>
        </w:rPr>
        <w:t xml:space="preserve"> que les infrastructures de transport et les ports de mer avaient un impact négatif sur </w:t>
      </w:r>
      <w:r w:rsidR="0005564F">
        <w:rPr>
          <w:noProof/>
          <w:lang w:val="fr-CA"/>
        </w:rPr>
        <w:t>l’</w:t>
      </w:r>
      <w:r w:rsidRPr="00B74B72">
        <w:rPr>
          <w:noProof/>
          <w:lang w:val="fr-CA"/>
        </w:rPr>
        <w:t>environnement</w:t>
      </w:r>
      <w:r w:rsidR="0005564F">
        <w:rPr>
          <w:noProof/>
          <w:lang w:val="fr-CA"/>
        </w:rPr>
        <w:t xml:space="preserve"> dans leur collectivité</w:t>
      </w:r>
      <w:r w:rsidRPr="00B74B72">
        <w:rPr>
          <w:noProof/>
          <w:lang w:val="fr-CA"/>
        </w:rPr>
        <w:t xml:space="preserve">. Invités à dire ce que le gouvernement fédéral pourrait faire pour régler les problèmes environnementaux locaux, les participants n’ont pas donné de détails, mais estimaient que le gouvernement du Canada a bel et bien un rôle à jouer, de concert avec les municipalités et les provinces ou </w:t>
      </w:r>
      <w:r w:rsidR="0000056B">
        <w:rPr>
          <w:noProof/>
          <w:lang w:val="fr-CA"/>
        </w:rPr>
        <w:t xml:space="preserve">les </w:t>
      </w:r>
      <w:r w:rsidRPr="00B74B72">
        <w:rPr>
          <w:noProof/>
          <w:lang w:val="fr-CA"/>
        </w:rPr>
        <w:t xml:space="preserve">territoires. </w:t>
      </w:r>
    </w:p>
    <w:p w14:paraId="01497598" w14:textId="485732BC" w:rsidR="00037373" w:rsidRPr="00B74B72" w:rsidRDefault="00037373" w:rsidP="00037373">
      <w:pPr>
        <w:rPr>
          <w:noProof/>
          <w:lang w:val="fr-CA"/>
        </w:rPr>
      </w:pPr>
      <w:r w:rsidRPr="00B74B72">
        <w:rPr>
          <w:noProof/>
          <w:lang w:val="fr-CA"/>
        </w:rPr>
        <w:t>Certain</w:t>
      </w:r>
      <w:r w:rsidR="0000056B">
        <w:rPr>
          <w:noProof/>
          <w:lang w:val="fr-CA"/>
        </w:rPr>
        <w:t>s participants se sont rappelé de</w:t>
      </w:r>
      <w:r w:rsidR="00266ADB">
        <w:rPr>
          <w:noProof/>
          <w:lang w:val="fr-CA"/>
        </w:rPr>
        <w:t>s</w:t>
      </w:r>
      <w:r w:rsidRPr="00B74B72">
        <w:rPr>
          <w:noProof/>
          <w:lang w:val="fr-CA"/>
        </w:rPr>
        <w:t xml:space="preserve"> nouvelles ou d</w:t>
      </w:r>
      <w:r w:rsidR="00266ADB">
        <w:rPr>
          <w:noProof/>
          <w:lang w:val="fr-CA"/>
        </w:rPr>
        <w:t xml:space="preserve">es </w:t>
      </w:r>
      <w:r w:rsidRPr="00B74B72">
        <w:rPr>
          <w:noProof/>
          <w:lang w:val="fr-CA"/>
        </w:rPr>
        <w:t xml:space="preserve">annonces récentes faites par le gouvernement fédéral en matière d’environnement, mais leurs explications manquaient généralement de précision. </w:t>
      </w:r>
      <w:r w:rsidR="0000056B">
        <w:rPr>
          <w:noProof/>
          <w:lang w:val="fr-CA"/>
        </w:rPr>
        <w:t>L</w:t>
      </w:r>
      <w:r w:rsidRPr="00B74B72">
        <w:rPr>
          <w:noProof/>
          <w:lang w:val="fr-CA"/>
        </w:rPr>
        <w:t>’interdiction des plastiques à usage unique et l’envoi de déchets aux Philippines</w:t>
      </w:r>
      <w:r w:rsidR="0000056B">
        <w:rPr>
          <w:noProof/>
          <w:lang w:val="fr-CA"/>
        </w:rPr>
        <w:t xml:space="preserve"> ont fait l’objet des mentions les plus fréquentes</w:t>
      </w:r>
      <w:r w:rsidRPr="00B74B72">
        <w:rPr>
          <w:noProof/>
          <w:lang w:val="fr-CA"/>
        </w:rPr>
        <w:t xml:space="preserve">, </w:t>
      </w:r>
      <w:r w:rsidR="0000056B">
        <w:rPr>
          <w:noProof/>
          <w:lang w:val="fr-CA"/>
        </w:rPr>
        <w:t xml:space="preserve">et </w:t>
      </w:r>
      <w:r w:rsidRPr="00B74B72">
        <w:rPr>
          <w:noProof/>
          <w:lang w:val="fr-CA"/>
        </w:rPr>
        <w:t>l’oléoduc TMX</w:t>
      </w:r>
      <w:r w:rsidR="0000056B">
        <w:rPr>
          <w:noProof/>
          <w:lang w:val="fr-CA"/>
        </w:rPr>
        <w:t>, de quelques mentions</w:t>
      </w:r>
      <w:r w:rsidRPr="00B74B72">
        <w:rPr>
          <w:noProof/>
          <w:lang w:val="fr-CA"/>
        </w:rPr>
        <w:t xml:space="preserve">. </w:t>
      </w:r>
    </w:p>
    <w:p w14:paraId="7A3109ED" w14:textId="1229DCC2" w:rsidR="00037373" w:rsidRPr="00B74B72" w:rsidRDefault="00037373" w:rsidP="00037373">
      <w:pPr>
        <w:rPr>
          <w:noProof/>
          <w:lang w:val="fr-CA"/>
        </w:rPr>
      </w:pPr>
      <w:r w:rsidRPr="00B74B72">
        <w:rPr>
          <w:noProof/>
          <w:lang w:val="fr-CA"/>
        </w:rPr>
        <w:t xml:space="preserve">Dans l’ensemble, le niveau de notoriété spontanée associé </w:t>
      </w:r>
      <w:r w:rsidR="009D2CC1">
        <w:rPr>
          <w:noProof/>
          <w:lang w:val="fr-CA"/>
        </w:rPr>
        <w:t>au projet</w:t>
      </w:r>
      <w:r w:rsidRPr="00B74B72">
        <w:rPr>
          <w:noProof/>
          <w:lang w:val="fr-CA"/>
        </w:rPr>
        <w:t xml:space="preserve"> </w:t>
      </w:r>
      <w:r w:rsidR="009D2CC1">
        <w:rPr>
          <w:noProof/>
          <w:lang w:val="fr-CA"/>
        </w:rPr>
        <w:t>d</w:t>
      </w:r>
      <w:r w:rsidRPr="00B74B72">
        <w:rPr>
          <w:noProof/>
          <w:lang w:val="fr-CA"/>
        </w:rPr>
        <w:t xml:space="preserve">’interdiction des plastiques à usage unique était moyen dans les groupes de Hamilton, Trois-Rivières et Kentville. </w:t>
      </w:r>
      <w:r w:rsidR="009D2CC1">
        <w:rPr>
          <w:noProof/>
          <w:lang w:val="fr-CA"/>
        </w:rPr>
        <w:t>À noter</w:t>
      </w:r>
      <w:r w:rsidRPr="00B74B72">
        <w:rPr>
          <w:noProof/>
          <w:lang w:val="fr-CA"/>
        </w:rPr>
        <w:t xml:space="preserve"> que cette question n’a pas été évaluée à Iqaluit. Une fois </w:t>
      </w:r>
      <w:r w:rsidR="00E10870">
        <w:rPr>
          <w:noProof/>
          <w:lang w:val="fr-CA"/>
        </w:rPr>
        <w:t>qu</w:t>
      </w:r>
      <w:r w:rsidR="00CA5B43">
        <w:rPr>
          <w:noProof/>
          <w:lang w:val="fr-CA"/>
        </w:rPr>
        <w:t>’ils ont eu connaissance</w:t>
      </w:r>
      <w:r w:rsidRPr="00B74B72">
        <w:rPr>
          <w:noProof/>
          <w:lang w:val="fr-CA"/>
        </w:rPr>
        <w:t xml:space="preserve"> de</w:t>
      </w:r>
      <w:r w:rsidR="00285D8D">
        <w:rPr>
          <w:noProof/>
          <w:lang w:val="fr-CA"/>
        </w:rPr>
        <w:t>s</w:t>
      </w:r>
      <w:r w:rsidRPr="00B74B72">
        <w:rPr>
          <w:noProof/>
          <w:lang w:val="fr-CA"/>
        </w:rPr>
        <w:t xml:space="preserve"> détails </w:t>
      </w:r>
      <w:r w:rsidR="00285D8D">
        <w:rPr>
          <w:noProof/>
          <w:lang w:val="fr-CA"/>
        </w:rPr>
        <w:t>du</w:t>
      </w:r>
      <w:r w:rsidRPr="00B74B72">
        <w:rPr>
          <w:noProof/>
          <w:lang w:val="fr-CA"/>
        </w:rPr>
        <w:t xml:space="preserve"> projet, la plupart des participants ont eu le sentiment d’avoir vu, lu ou entendu quelque chose à </w:t>
      </w:r>
      <w:r w:rsidR="00285D8D">
        <w:rPr>
          <w:noProof/>
          <w:lang w:val="fr-CA"/>
        </w:rPr>
        <w:t>son</w:t>
      </w:r>
      <w:r w:rsidRPr="00B74B72">
        <w:rPr>
          <w:noProof/>
          <w:lang w:val="fr-CA"/>
        </w:rPr>
        <w:t xml:space="preserve"> sujet récemment. La grande majorité d’entre eux ont bien accueilli l’idée, jugeant que la pollution par le plastique constitue un problème majeur pour le pays et une priorité importante pour le gouvernement fédéral. Ils ont également largement appuyé l’idée que les entreprises assument une responsabilité accrue dans le nettoyage de la pollution par le plastique et que le gouvernement du Canada donne l’exemple en réduisant l’utilisation d</w:t>
      </w:r>
      <w:r w:rsidR="0000056B">
        <w:rPr>
          <w:noProof/>
          <w:lang w:val="fr-CA"/>
        </w:rPr>
        <w:t>es</w:t>
      </w:r>
      <w:r w:rsidRPr="00B74B72">
        <w:rPr>
          <w:noProof/>
          <w:lang w:val="fr-CA"/>
        </w:rPr>
        <w:t xml:space="preserve"> plastique</w:t>
      </w:r>
      <w:r w:rsidR="0000056B">
        <w:rPr>
          <w:noProof/>
          <w:lang w:val="fr-CA"/>
        </w:rPr>
        <w:t>s</w:t>
      </w:r>
      <w:r w:rsidRPr="00B74B72">
        <w:rPr>
          <w:noProof/>
          <w:lang w:val="fr-CA"/>
        </w:rPr>
        <w:t xml:space="preserve"> dans l’ensemble de ses ministères et organismes.</w:t>
      </w:r>
    </w:p>
    <w:p w14:paraId="4656D4C4" w14:textId="218AD11B" w:rsidR="00037373" w:rsidRPr="00B74B72" w:rsidRDefault="00037373" w:rsidP="00037373">
      <w:pPr>
        <w:rPr>
          <w:noProof/>
          <w:lang w:val="fr-CA"/>
        </w:rPr>
      </w:pPr>
      <w:r w:rsidRPr="00B74B72">
        <w:rPr>
          <w:noProof/>
          <w:lang w:val="fr-CA"/>
        </w:rPr>
        <w:t>Les principales réserves à l’égard d</w:t>
      </w:r>
      <w:r w:rsidR="009D2CC1">
        <w:rPr>
          <w:noProof/>
          <w:lang w:val="fr-CA"/>
        </w:rPr>
        <w:t>u projet d’</w:t>
      </w:r>
      <w:r w:rsidRPr="00B74B72">
        <w:rPr>
          <w:noProof/>
          <w:lang w:val="fr-CA"/>
        </w:rPr>
        <w:t>interdiction concernaient son caractère contraignant dans la pratique et le</w:t>
      </w:r>
      <w:r w:rsidR="002F0F0C">
        <w:rPr>
          <w:noProof/>
          <w:lang w:val="fr-CA"/>
        </w:rPr>
        <w:t>s</w:t>
      </w:r>
      <w:r w:rsidRPr="00B74B72">
        <w:rPr>
          <w:noProof/>
          <w:lang w:val="fr-CA"/>
        </w:rPr>
        <w:t xml:space="preserve"> coûts</w:t>
      </w:r>
      <w:r w:rsidR="009D2CC1">
        <w:rPr>
          <w:noProof/>
          <w:lang w:val="fr-CA"/>
        </w:rPr>
        <w:t xml:space="preserve"> accrus des solutions de rechange</w:t>
      </w:r>
      <w:r w:rsidR="00285D8D">
        <w:rPr>
          <w:noProof/>
          <w:lang w:val="fr-CA"/>
        </w:rPr>
        <w:t>,</w:t>
      </w:r>
      <w:r w:rsidR="009D2CC1">
        <w:rPr>
          <w:noProof/>
          <w:lang w:val="fr-CA"/>
        </w:rPr>
        <w:t xml:space="preserve"> </w:t>
      </w:r>
      <w:r w:rsidR="002F0F0C">
        <w:rPr>
          <w:noProof/>
          <w:lang w:val="fr-CA"/>
        </w:rPr>
        <w:t xml:space="preserve">qui se répercuteraient sur les </w:t>
      </w:r>
      <w:r w:rsidRPr="00B74B72">
        <w:rPr>
          <w:noProof/>
          <w:lang w:val="fr-CA"/>
        </w:rPr>
        <w:t xml:space="preserve">consommateurs. En général cependant, les avantages perçus </w:t>
      </w:r>
      <w:r w:rsidR="00FC3785">
        <w:rPr>
          <w:noProof/>
          <w:lang w:val="fr-CA"/>
        </w:rPr>
        <w:t>—</w:t>
      </w:r>
      <w:r w:rsidRPr="00B74B72">
        <w:rPr>
          <w:noProof/>
          <w:lang w:val="fr-CA"/>
        </w:rPr>
        <w:t xml:space="preserve"> </w:t>
      </w:r>
      <w:r w:rsidR="009D2CC1">
        <w:rPr>
          <w:noProof/>
          <w:lang w:val="fr-CA"/>
        </w:rPr>
        <w:t xml:space="preserve"> la production d’une quantité moindre de déchets</w:t>
      </w:r>
      <w:r w:rsidRPr="00B74B72">
        <w:rPr>
          <w:noProof/>
          <w:lang w:val="fr-CA"/>
        </w:rPr>
        <w:t xml:space="preserve"> à</w:t>
      </w:r>
      <w:r w:rsidR="00832861">
        <w:rPr>
          <w:noProof/>
          <w:lang w:val="fr-CA"/>
        </w:rPr>
        <w:t xml:space="preserve"> </w:t>
      </w:r>
      <w:r w:rsidRPr="00B74B72">
        <w:rPr>
          <w:noProof/>
          <w:lang w:val="fr-CA"/>
        </w:rPr>
        <w:t xml:space="preserve">gérer et </w:t>
      </w:r>
      <w:r w:rsidR="009D2CC1">
        <w:rPr>
          <w:noProof/>
          <w:lang w:val="fr-CA"/>
        </w:rPr>
        <w:t>la réduction de</w:t>
      </w:r>
      <w:r w:rsidRPr="00B74B72">
        <w:rPr>
          <w:noProof/>
          <w:lang w:val="fr-CA"/>
        </w:rPr>
        <w:t xml:space="preserve"> la pollution </w:t>
      </w:r>
      <w:r w:rsidR="00FC3785">
        <w:rPr>
          <w:noProof/>
          <w:lang w:val="fr-CA"/>
        </w:rPr>
        <w:t>—</w:t>
      </w:r>
      <w:r w:rsidRPr="00B74B72">
        <w:rPr>
          <w:noProof/>
          <w:lang w:val="fr-CA"/>
        </w:rPr>
        <w:t xml:space="preserve"> ont semblé l’emporter de loin sur les </w:t>
      </w:r>
      <w:r w:rsidR="009D2CC1">
        <w:rPr>
          <w:noProof/>
          <w:lang w:val="fr-CA"/>
        </w:rPr>
        <w:t>inconvénients</w:t>
      </w:r>
      <w:r w:rsidRPr="00B74B72">
        <w:rPr>
          <w:noProof/>
          <w:lang w:val="fr-CA"/>
        </w:rPr>
        <w:t xml:space="preserve"> </w:t>
      </w:r>
      <w:r w:rsidR="00285D8D">
        <w:rPr>
          <w:noProof/>
          <w:lang w:val="fr-CA"/>
        </w:rPr>
        <w:t>perçus</w:t>
      </w:r>
      <w:r w:rsidRPr="00B74B72">
        <w:rPr>
          <w:noProof/>
          <w:lang w:val="fr-CA"/>
        </w:rPr>
        <w:t xml:space="preserve"> </w:t>
      </w:r>
      <w:r w:rsidR="00285D8D">
        <w:rPr>
          <w:noProof/>
          <w:lang w:val="fr-CA"/>
        </w:rPr>
        <w:t>de</w:t>
      </w:r>
      <w:r w:rsidRPr="00B74B72">
        <w:rPr>
          <w:noProof/>
          <w:lang w:val="fr-CA"/>
        </w:rPr>
        <w:t xml:space="preserve"> l’initiative. </w:t>
      </w:r>
    </w:p>
    <w:p w14:paraId="3AF9FF8A" w14:textId="6584B2F3" w:rsidR="00AD7D5A" w:rsidRPr="00B74B72" w:rsidRDefault="00037373" w:rsidP="00037373">
      <w:pPr>
        <w:rPr>
          <w:noProof/>
          <w:lang w:val="fr-CA"/>
        </w:rPr>
      </w:pPr>
      <w:r w:rsidRPr="00B74B72">
        <w:rPr>
          <w:noProof/>
          <w:lang w:val="fr-CA"/>
        </w:rPr>
        <w:t>Tant à Hamilton qu’à Trois-Rivières, personne n’avait entendu parler de «</w:t>
      </w:r>
      <w:r w:rsidR="001F684A">
        <w:rPr>
          <w:noProof/>
          <w:lang w:val="fr-CA"/>
        </w:rPr>
        <w:t> </w:t>
      </w:r>
      <w:r w:rsidRPr="00B74B72">
        <w:rPr>
          <w:noProof/>
          <w:lang w:val="fr-CA"/>
        </w:rPr>
        <w:t>séquestration du carbone</w:t>
      </w:r>
      <w:r w:rsidR="001F684A">
        <w:rPr>
          <w:noProof/>
          <w:lang w:val="fr-CA"/>
        </w:rPr>
        <w:t> </w:t>
      </w:r>
      <w:r w:rsidRPr="00B74B72">
        <w:rPr>
          <w:noProof/>
          <w:lang w:val="fr-CA"/>
        </w:rPr>
        <w:t>». Le «</w:t>
      </w:r>
      <w:r w:rsidR="001F684A">
        <w:rPr>
          <w:noProof/>
          <w:lang w:val="fr-CA"/>
        </w:rPr>
        <w:t> </w:t>
      </w:r>
      <w:r w:rsidRPr="00B74B72">
        <w:rPr>
          <w:noProof/>
          <w:lang w:val="fr-CA"/>
        </w:rPr>
        <w:t>captage du carbone</w:t>
      </w:r>
      <w:r w:rsidR="001F684A">
        <w:rPr>
          <w:noProof/>
          <w:lang w:val="fr-CA"/>
        </w:rPr>
        <w:t> </w:t>
      </w:r>
      <w:r w:rsidRPr="00B74B72">
        <w:rPr>
          <w:noProof/>
          <w:lang w:val="fr-CA"/>
        </w:rPr>
        <w:t xml:space="preserve">» a paru évoquer davantage, mais encore là peu de </w:t>
      </w:r>
      <w:r w:rsidR="009D2CC1">
        <w:rPr>
          <w:noProof/>
          <w:lang w:val="fr-CA"/>
        </w:rPr>
        <w:t>gens</w:t>
      </w:r>
      <w:r w:rsidRPr="00B74B72">
        <w:rPr>
          <w:noProof/>
          <w:lang w:val="fr-CA"/>
        </w:rPr>
        <w:t xml:space="preserve"> ont semblé bien informés ou à l’aise avec ce terme. Une fois sa signification expliquée aux participants, la question de savoir si le Canada devrait investir dans cette technologie ou cette industrie a rencontré une franche opposition. Les risques inconnus que le captage du carbone pourrait poser pour l’environnement ainsi que les conséquences imprévues d’un bris du système ou du réservoir de stockage ont fait partie des motifs d’inquiétude cités à l’appui de cette opinion défavorable. De nombreux participants comprenaient toutefois le point de vue inverse et ont reconnu le potentiel de cette technologie pour ce qui est d’aider le </w:t>
      </w:r>
      <w:r w:rsidR="009D2CC1">
        <w:rPr>
          <w:noProof/>
          <w:lang w:val="fr-CA"/>
        </w:rPr>
        <w:t>pays</w:t>
      </w:r>
      <w:r w:rsidRPr="00B74B72">
        <w:rPr>
          <w:noProof/>
          <w:lang w:val="fr-CA"/>
        </w:rPr>
        <w:t xml:space="preserve"> à atteindre ses objectifs de réduction des émissions à court terme, tout en tirant des avantages économiques d’une nouvelle industrie canadienne capable de répondre aux exigences du marché mondial</w:t>
      </w:r>
      <w:r w:rsidR="00AD7D5A" w:rsidRPr="00B74B72">
        <w:rPr>
          <w:noProof/>
          <w:lang w:val="fr-CA"/>
        </w:rPr>
        <w:t>.</w:t>
      </w:r>
    </w:p>
    <w:p w14:paraId="23CD352A" w14:textId="498A449D" w:rsidR="00AD7D5A" w:rsidRPr="00B74B72" w:rsidRDefault="00037373" w:rsidP="00AD7D5A">
      <w:pPr>
        <w:rPr>
          <w:b/>
          <w:noProof/>
          <w:lang w:val="fr-CA"/>
        </w:rPr>
      </w:pPr>
      <w:r w:rsidRPr="00B74B72">
        <w:rPr>
          <w:b/>
          <w:noProof/>
          <w:lang w:val="fr-CA"/>
        </w:rPr>
        <w:t xml:space="preserve">Mesures environnementales du gouvernement du Canada </w:t>
      </w:r>
      <w:r w:rsidR="00AD7D5A" w:rsidRPr="00B74B72">
        <w:rPr>
          <w:b/>
          <w:noProof/>
          <w:lang w:val="fr-CA"/>
        </w:rPr>
        <w:t>(Trois-Rivières)</w:t>
      </w:r>
    </w:p>
    <w:p w14:paraId="58D77301" w14:textId="77777777" w:rsidR="00037373" w:rsidRPr="00B74B72" w:rsidRDefault="00037373" w:rsidP="00037373">
      <w:pPr>
        <w:rPr>
          <w:noProof/>
          <w:lang w:val="fr-CA"/>
        </w:rPr>
      </w:pPr>
      <w:r w:rsidRPr="00B74B72">
        <w:rPr>
          <w:noProof/>
          <w:lang w:val="fr-CA"/>
        </w:rPr>
        <w:t xml:space="preserve">Les participants de Trois-Rivières ont chacun reçu une liste de mesures que le gouvernement du Canada pourrait mettre en œuvre afin d’améliorer l’environnement. Ils devaient choisir les deux ou trois mesures qui, d’après eux, auraient le plus d’impact. Sans surprise vu leurs préoccupations à l’égard de la pollution par le plastique dans les lacs et les océans canadiens, les participants ont été unanimes à désigner l’interdiction des plastiques à usage unique comme l’initiative la plus porteuse. Les autres mesures fédérales retenues pour leur impact comprenaient la création d’aires marines protégées, l’investissement en faveur du Plan de protection des océans ainsi que la tarification de la pollution imposée aux grands émetteurs. </w:t>
      </w:r>
    </w:p>
    <w:p w14:paraId="35CB3C43" w14:textId="49D3A5D7" w:rsidR="00AD7D5A" w:rsidRPr="00B74B72" w:rsidRDefault="00037373" w:rsidP="00037373">
      <w:pPr>
        <w:rPr>
          <w:noProof/>
          <w:lang w:val="fr-CA"/>
        </w:rPr>
      </w:pPr>
      <w:r w:rsidRPr="00B74B72">
        <w:rPr>
          <w:noProof/>
          <w:lang w:val="fr-CA"/>
        </w:rPr>
        <w:t xml:space="preserve">Les participants de ces groupes avaient le sentiment que le gouvernement fédéral </w:t>
      </w:r>
      <w:r w:rsidR="00F16486">
        <w:rPr>
          <w:noProof/>
          <w:lang w:val="fr-CA"/>
        </w:rPr>
        <w:t>fait</w:t>
      </w:r>
      <w:r w:rsidRPr="00B74B72">
        <w:rPr>
          <w:noProof/>
          <w:lang w:val="fr-CA"/>
        </w:rPr>
        <w:t xml:space="preserve"> le nécessaire et </w:t>
      </w:r>
      <w:r w:rsidR="00F16486">
        <w:rPr>
          <w:noProof/>
          <w:lang w:val="fr-CA"/>
        </w:rPr>
        <w:t>qu’il est</w:t>
      </w:r>
      <w:r w:rsidRPr="00B74B72">
        <w:rPr>
          <w:noProof/>
          <w:lang w:val="fr-CA"/>
        </w:rPr>
        <w:t xml:space="preserve"> «</w:t>
      </w:r>
      <w:r w:rsidR="001F684A">
        <w:rPr>
          <w:noProof/>
          <w:lang w:val="fr-CA"/>
        </w:rPr>
        <w:t> </w:t>
      </w:r>
      <w:r w:rsidRPr="00B74B72">
        <w:rPr>
          <w:noProof/>
          <w:lang w:val="fr-CA"/>
        </w:rPr>
        <w:t>sur la bonne voie</w:t>
      </w:r>
      <w:r w:rsidR="001F684A">
        <w:rPr>
          <w:noProof/>
          <w:lang w:val="fr-CA"/>
        </w:rPr>
        <w:t> </w:t>
      </w:r>
      <w:r w:rsidRPr="00B74B72">
        <w:rPr>
          <w:noProof/>
          <w:lang w:val="fr-CA"/>
        </w:rPr>
        <w:t xml:space="preserve">» dans sa gestion des problèmes environnementaux du pays. En complément aux mesures </w:t>
      </w:r>
      <w:r w:rsidR="008A55FB">
        <w:rPr>
          <w:noProof/>
          <w:lang w:val="fr-CA"/>
        </w:rPr>
        <w:t>incluses dans</w:t>
      </w:r>
      <w:r w:rsidRPr="00B74B72">
        <w:rPr>
          <w:noProof/>
          <w:lang w:val="fr-CA"/>
        </w:rPr>
        <w:t xml:space="preserve"> l’exercice, les participants ont suggéré d’autres moyens </w:t>
      </w:r>
      <w:r w:rsidR="002F0F0C">
        <w:rPr>
          <w:noProof/>
          <w:lang w:val="fr-CA"/>
        </w:rPr>
        <w:t>grâce</w:t>
      </w:r>
      <w:r w:rsidRPr="00B74B72">
        <w:rPr>
          <w:noProof/>
          <w:lang w:val="fr-CA"/>
        </w:rPr>
        <w:t xml:space="preserve"> </w:t>
      </w:r>
      <w:r w:rsidR="002F0F0C">
        <w:rPr>
          <w:noProof/>
          <w:lang w:val="fr-CA"/>
        </w:rPr>
        <w:t>aux</w:t>
      </w:r>
      <w:r w:rsidRPr="00B74B72">
        <w:rPr>
          <w:noProof/>
          <w:lang w:val="fr-CA"/>
        </w:rPr>
        <w:t xml:space="preserve">quels le gouvernement du Canada pourrait protéger l’environnement, notamment : une sensibilisation accrue du public aux lois et aux dispositions en vigueur; le redoublement des efforts consacrés à la gestion des déchets; l’application de nouvelles mesures de protection des terres et des eaux canadiennes; la recherche de meilleures solutions pour réduire les émissions de carbone, surtout celles qui </w:t>
      </w:r>
      <w:r w:rsidR="002F0F0C">
        <w:rPr>
          <w:noProof/>
          <w:lang w:val="fr-CA"/>
        </w:rPr>
        <w:t>atténuent</w:t>
      </w:r>
      <w:r w:rsidRPr="00B74B72">
        <w:rPr>
          <w:noProof/>
          <w:lang w:val="fr-CA"/>
        </w:rPr>
        <w:t xml:space="preserve"> notre dépendance au pétrole et au gaz, ainsi que l’adoption accélérée des véhicules électriques</w:t>
      </w:r>
      <w:r w:rsidR="00AD7D5A" w:rsidRPr="00B74B72">
        <w:rPr>
          <w:noProof/>
          <w:lang w:val="fr-CA"/>
        </w:rPr>
        <w:t>.</w:t>
      </w:r>
    </w:p>
    <w:p w14:paraId="2B7C9A34" w14:textId="77777777" w:rsidR="00F16486" w:rsidRDefault="00F16486" w:rsidP="00AD7D5A">
      <w:pPr>
        <w:rPr>
          <w:b/>
          <w:noProof/>
          <w:lang w:val="fr-CA"/>
        </w:rPr>
      </w:pPr>
    </w:p>
    <w:p w14:paraId="08B5AA8F" w14:textId="77777777" w:rsidR="00F16486" w:rsidRDefault="00F16486" w:rsidP="00AD7D5A">
      <w:pPr>
        <w:rPr>
          <w:b/>
          <w:noProof/>
          <w:lang w:val="fr-CA"/>
        </w:rPr>
      </w:pPr>
    </w:p>
    <w:p w14:paraId="514B0A92" w14:textId="66348A97" w:rsidR="00AD7D5A" w:rsidRPr="00B74B72" w:rsidRDefault="00037373" w:rsidP="00AD7D5A">
      <w:pPr>
        <w:rPr>
          <w:b/>
          <w:noProof/>
          <w:lang w:val="fr-CA"/>
        </w:rPr>
      </w:pPr>
      <w:r w:rsidRPr="00B74B72">
        <w:rPr>
          <w:b/>
          <w:noProof/>
          <w:lang w:val="fr-CA"/>
        </w:rPr>
        <w:t>Tarification de la pollution</w:t>
      </w:r>
      <w:r w:rsidR="00AD7D5A" w:rsidRPr="00B74B72">
        <w:rPr>
          <w:b/>
          <w:noProof/>
          <w:lang w:val="fr-CA"/>
        </w:rPr>
        <w:t xml:space="preserve"> (Hamilton)</w:t>
      </w:r>
    </w:p>
    <w:p w14:paraId="3F1B0471" w14:textId="7074DDFE" w:rsidR="00037373" w:rsidRPr="00B74B72" w:rsidRDefault="00037373" w:rsidP="00037373">
      <w:pPr>
        <w:rPr>
          <w:noProof/>
          <w:lang w:val="fr-CA"/>
        </w:rPr>
      </w:pPr>
      <w:r w:rsidRPr="00B74B72">
        <w:rPr>
          <w:noProof/>
          <w:lang w:val="fr-CA"/>
        </w:rPr>
        <w:t>Les participants de Hamilton étaient peu au courant du plan fédéral visant à tarifier la pollution, quoique le terme «</w:t>
      </w:r>
      <w:r w:rsidR="001F684A">
        <w:rPr>
          <w:noProof/>
          <w:lang w:val="fr-CA"/>
        </w:rPr>
        <w:t> </w:t>
      </w:r>
      <w:r w:rsidRPr="00B74B72">
        <w:rPr>
          <w:noProof/>
          <w:lang w:val="fr-CA"/>
        </w:rPr>
        <w:t>taxe sur le carbone</w:t>
      </w:r>
      <w:r w:rsidR="001F684A">
        <w:rPr>
          <w:noProof/>
          <w:lang w:val="fr-CA"/>
        </w:rPr>
        <w:t> </w:t>
      </w:r>
      <w:r w:rsidRPr="00B74B72">
        <w:rPr>
          <w:noProof/>
          <w:lang w:val="fr-CA"/>
        </w:rPr>
        <w:t>» ait suscité une reconnaissance plus large dans les groupes.</w:t>
      </w:r>
    </w:p>
    <w:p w14:paraId="4FD74859" w14:textId="0E9B9610" w:rsidR="00AD7D5A" w:rsidRPr="00B74B72" w:rsidRDefault="00037373" w:rsidP="00037373">
      <w:pPr>
        <w:rPr>
          <w:noProof/>
          <w:lang w:val="fr-CA"/>
        </w:rPr>
      </w:pPr>
      <w:r w:rsidRPr="00B74B72">
        <w:rPr>
          <w:noProof/>
          <w:lang w:val="fr-CA"/>
        </w:rPr>
        <w:t>Lorsqu</w:t>
      </w:r>
      <w:r w:rsidR="00CA5B43">
        <w:rPr>
          <w:noProof/>
          <w:lang w:val="fr-CA"/>
        </w:rPr>
        <w:t>e nous leur</w:t>
      </w:r>
      <w:r w:rsidRPr="00B74B72">
        <w:rPr>
          <w:noProof/>
          <w:lang w:val="fr-CA"/>
        </w:rPr>
        <w:t xml:space="preserve"> a</w:t>
      </w:r>
      <w:r w:rsidR="00CA5B43">
        <w:rPr>
          <w:noProof/>
          <w:lang w:val="fr-CA"/>
        </w:rPr>
        <w:t>vons</w:t>
      </w:r>
      <w:r w:rsidRPr="00B74B72">
        <w:rPr>
          <w:noProof/>
          <w:lang w:val="fr-CA"/>
        </w:rPr>
        <w:t xml:space="preserve"> expliqué le fonctionnement du plan, les </w:t>
      </w:r>
      <w:r w:rsidR="002F0F0C">
        <w:rPr>
          <w:noProof/>
          <w:lang w:val="fr-CA"/>
        </w:rPr>
        <w:t xml:space="preserve">deux </w:t>
      </w:r>
      <w:r w:rsidRPr="00B74B72">
        <w:rPr>
          <w:noProof/>
          <w:lang w:val="fr-CA"/>
        </w:rPr>
        <w:t xml:space="preserve">groupes ont exprimé un soutien </w:t>
      </w:r>
      <w:r w:rsidR="002F0F0C">
        <w:rPr>
          <w:noProof/>
          <w:lang w:val="fr-CA"/>
        </w:rPr>
        <w:t>plutôt tiède</w:t>
      </w:r>
      <w:r w:rsidRPr="00B74B72">
        <w:rPr>
          <w:noProof/>
          <w:lang w:val="fr-CA"/>
        </w:rPr>
        <w:t xml:space="preserve"> à son égard. La majorité des gens étaient en faveur de mesures environnementales, y compris d’efforts pour atténuer ou inverser les changements climatiques, mais ils avaient des questions sur les aspects essentiels de l’initiative. Leur impression générale était que les entreprises refileraient les coûts aux consommateurs. Et si l’idée de remettre les recettes perçues aux résidents sous la forme d’un paiement incitatif a </w:t>
      </w:r>
      <w:r w:rsidR="00DA79FC">
        <w:rPr>
          <w:noProof/>
          <w:lang w:val="fr-CA"/>
        </w:rPr>
        <w:t xml:space="preserve">généralement </w:t>
      </w:r>
      <w:r w:rsidRPr="00B74B72">
        <w:rPr>
          <w:noProof/>
          <w:lang w:val="fr-CA"/>
        </w:rPr>
        <w:t>paru bonne, certains participants n’en voyaient pas l’intérêt et estimaient qu’une plus grande part des fonds devrait être allouée à la recherche-développement de technologies axées sur la réduction des émissions de carbone. Par ailleurs, peu de gens se sont rappelé avoir reçu de l’information sur la mesure incitative ou l’avoir vue dans leur déclaration de revenus</w:t>
      </w:r>
      <w:r w:rsidR="00AD7D5A" w:rsidRPr="00B74B72">
        <w:rPr>
          <w:noProof/>
          <w:lang w:val="fr-CA"/>
        </w:rPr>
        <w:t xml:space="preserve">. </w:t>
      </w:r>
    </w:p>
    <w:p w14:paraId="10FF5D7F" w14:textId="47D890CE" w:rsidR="00AD7D5A" w:rsidRPr="00B74B72" w:rsidRDefault="00037373" w:rsidP="00AD7D5A">
      <w:pPr>
        <w:rPr>
          <w:b/>
          <w:noProof/>
          <w:lang w:val="fr-CA"/>
        </w:rPr>
      </w:pPr>
      <w:r w:rsidRPr="00B74B72">
        <w:rPr>
          <w:b/>
          <w:noProof/>
          <w:lang w:val="fr-CA"/>
        </w:rPr>
        <w:t xml:space="preserve">Changements climatiques et croissance propre </w:t>
      </w:r>
      <w:r w:rsidR="00AD7D5A" w:rsidRPr="00B74B72">
        <w:rPr>
          <w:b/>
          <w:noProof/>
          <w:lang w:val="fr-CA"/>
        </w:rPr>
        <w:t>(Iqaluit)</w:t>
      </w:r>
    </w:p>
    <w:p w14:paraId="30F02364" w14:textId="0415D407" w:rsidR="00037373" w:rsidRPr="00B74B72" w:rsidRDefault="00037373" w:rsidP="00037373">
      <w:pPr>
        <w:rPr>
          <w:noProof/>
          <w:lang w:val="fr-CA"/>
        </w:rPr>
      </w:pPr>
      <w:r w:rsidRPr="00B74B72">
        <w:rPr>
          <w:noProof/>
          <w:lang w:val="fr-CA"/>
        </w:rPr>
        <w:t xml:space="preserve">Bien que les participants des deux groupes d’Iqaluit se soient montrés sensibles à la question de l’environnement, peu ont mentionné des défis précis auxquels le Canada </w:t>
      </w:r>
      <w:r w:rsidR="002F0F0C">
        <w:rPr>
          <w:noProof/>
          <w:lang w:val="fr-CA"/>
        </w:rPr>
        <w:t>est confronté</w:t>
      </w:r>
      <w:r w:rsidRPr="00B74B72">
        <w:rPr>
          <w:noProof/>
          <w:lang w:val="fr-CA"/>
        </w:rPr>
        <w:t xml:space="preserve"> sur le plan des changements climatiques.</w:t>
      </w:r>
    </w:p>
    <w:p w14:paraId="078A8C7F" w14:textId="5884198C" w:rsidR="00037373" w:rsidRPr="00B74B72" w:rsidRDefault="00037373" w:rsidP="00037373">
      <w:pPr>
        <w:rPr>
          <w:noProof/>
          <w:lang w:val="fr-CA"/>
        </w:rPr>
      </w:pPr>
      <w:r w:rsidRPr="00B74B72">
        <w:rPr>
          <w:noProof/>
          <w:lang w:val="fr-CA"/>
        </w:rPr>
        <w:t xml:space="preserve">La plupart </w:t>
      </w:r>
      <w:r w:rsidR="004E720E">
        <w:rPr>
          <w:noProof/>
          <w:lang w:val="fr-CA"/>
        </w:rPr>
        <w:t xml:space="preserve">des gens </w:t>
      </w:r>
      <w:r w:rsidRPr="00B74B72">
        <w:rPr>
          <w:noProof/>
          <w:lang w:val="fr-CA"/>
        </w:rPr>
        <w:t xml:space="preserve">n’avaient pas le souvenir d’avoir entendu parler de cet enjeu dans les dernières semaines ou les derniers mois, </w:t>
      </w:r>
      <w:r w:rsidR="004E720E">
        <w:rPr>
          <w:noProof/>
          <w:lang w:val="fr-CA"/>
        </w:rPr>
        <w:t>quoique</w:t>
      </w:r>
      <w:r w:rsidRPr="00B74B72">
        <w:rPr>
          <w:noProof/>
          <w:lang w:val="fr-CA"/>
        </w:rPr>
        <w:t xml:space="preserve"> certain</w:t>
      </w:r>
      <w:r w:rsidR="002F0F0C">
        <w:rPr>
          <w:noProof/>
          <w:lang w:val="fr-CA"/>
        </w:rPr>
        <w:t>s aie</w:t>
      </w:r>
      <w:r w:rsidRPr="00B74B72">
        <w:rPr>
          <w:noProof/>
          <w:lang w:val="fr-CA"/>
        </w:rPr>
        <w:t xml:space="preserve">nt </w:t>
      </w:r>
      <w:r w:rsidR="004E720E">
        <w:rPr>
          <w:noProof/>
          <w:lang w:val="fr-CA"/>
        </w:rPr>
        <w:t>mentionné</w:t>
      </w:r>
      <w:r w:rsidRPr="00B74B72">
        <w:rPr>
          <w:noProof/>
          <w:lang w:val="fr-CA"/>
        </w:rPr>
        <w:t xml:space="preserve"> la «</w:t>
      </w:r>
      <w:r w:rsidR="001F684A">
        <w:rPr>
          <w:noProof/>
          <w:lang w:val="fr-CA"/>
        </w:rPr>
        <w:t> </w:t>
      </w:r>
      <w:r w:rsidRPr="00B74B72">
        <w:rPr>
          <w:noProof/>
          <w:lang w:val="fr-CA"/>
        </w:rPr>
        <w:t>taxe sur le carbone</w:t>
      </w:r>
      <w:r w:rsidR="001F684A">
        <w:rPr>
          <w:noProof/>
          <w:lang w:val="fr-CA"/>
        </w:rPr>
        <w:t> </w:t>
      </w:r>
      <w:r w:rsidRPr="00B74B72">
        <w:rPr>
          <w:noProof/>
          <w:lang w:val="fr-CA"/>
        </w:rPr>
        <w:t>».</w:t>
      </w:r>
    </w:p>
    <w:p w14:paraId="693C9D74" w14:textId="106B9323" w:rsidR="00037373" w:rsidRPr="00B74B72" w:rsidRDefault="004E720E" w:rsidP="00037373">
      <w:pPr>
        <w:rPr>
          <w:noProof/>
          <w:lang w:val="fr-CA"/>
        </w:rPr>
      </w:pPr>
      <w:r>
        <w:rPr>
          <w:noProof/>
          <w:lang w:val="fr-CA"/>
        </w:rPr>
        <w:t>En</w:t>
      </w:r>
      <w:r w:rsidR="00037373" w:rsidRPr="00B74B72">
        <w:rPr>
          <w:noProof/>
          <w:lang w:val="fr-CA"/>
        </w:rPr>
        <w:t xml:space="preserve"> ce qui concerne plus particulièrement le Nord,</w:t>
      </w:r>
      <w:r>
        <w:rPr>
          <w:noProof/>
          <w:lang w:val="fr-CA"/>
        </w:rPr>
        <w:t xml:space="preserve"> en revanche,</w:t>
      </w:r>
      <w:r w:rsidR="00037373" w:rsidRPr="00B74B72">
        <w:rPr>
          <w:noProof/>
          <w:lang w:val="fr-CA"/>
        </w:rPr>
        <w:t xml:space="preserve"> les participants </w:t>
      </w:r>
      <w:r>
        <w:rPr>
          <w:noProof/>
          <w:lang w:val="fr-CA"/>
        </w:rPr>
        <w:t>ont témoigné des</w:t>
      </w:r>
      <w:r w:rsidR="00037373" w:rsidRPr="00B74B72">
        <w:rPr>
          <w:noProof/>
          <w:lang w:val="fr-CA"/>
        </w:rPr>
        <w:t xml:space="preserve"> effets des changements climatiques, </w:t>
      </w:r>
      <w:r>
        <w:rPr>
          <w:noProof/>
          <w:lang w:val="fr-CA"/>
        </w:rPr>
        <w:t>comme</w:t>
      </w:r>
      <w:r w:rsidR="00037373" w:rsidRPr="00B74B72">
        <w:rPr>
          <w:noProof/>
          <w:lang w:val="fr-CA"/>
        </w:rPr>
        <w:t xml:space="preserve"> le recul du pergélisol, la fonte de la calotte polaire, la détérioration de la qualité de l’air, et la fluctuation des régimes climatiques et des niveaux d’eau. </w:t>
      </w:r>
    </w:p>
    <w:p w14:paraId="4F60B9E5" w14:textId="00FDC4F8" w:rsidR="00AD7D5A" w:rsidRPr="00B74B72" w:rsidRDefault="004E720E" w:rsidP="00037373">
      <w:pPr>
        <w:rPr>
          <w:noProof/>
          <w:lang w:val="fr-CA"/>
        </w:rPr>
      </w:pPr>
      <w:r>
        <w:rPr>
          <w:noProof/>
          <w:lang w:val="fr-CA"/>
        </w:rPr>
        <w:t>Les groupes ont aussi</w:t>
      </w:r>
      <w:r w:rsidR="00037373" w:rsidRPr="00B74B72">
        <w:rPr>
          <w:noProof/>
          <w:lang w:val="fr-CA"/>
        </w:rPr>
        <w:t xml:space="preserve"> reconnu que de nombreux résidents du Nord sont peu versés dans les conséquences des changements climatiques et que d’autres mesures de sensibilisation s’imposent pour les mobiliser et leur indiquer, d’un point de vue pratique, les mesures individuelles et collectives qui s’offrent à eux. Maints participants ont souligné l’importance de produire des documents d’information en anglais, en français et en inuktitut, en adoptant une </w:t>
      </w:r>
      <w:r w:rsidR="004903D0">
        <w:rPr>
          <w:noProof/>
          <w:lang w:val="fr-CA"/>
        </w:rPr>
        <w:t>perspective</w:t>
      </w:r>
      <w:r w:rsidR="00037373" w:rsidRPr="00B74B72">
        <w:rPr>
          <w:noProof/>
          <w:lang w:val="fr-CA"/>
        </w:rPr>
        <w:t xml:space="preserve"> locale et en intégrant des histoires qui interpellent les Inuit</w:t>
      </w:r>
      <w:r w:rsidR="00FC3785">
        <w:rPr>
          <w:noProof/>
          <w:lang w:val="fr-CA"/>
        </w:rPr>
        <w:t>s</w:t>
      </w:r>
      <w:r w:rsidR="00AD7D5A" w:rsidRPr="00B74B72">
        <w:rPr>
          <w:noProof/>
          <w:lang w:val="fr-CA"/>
        </w:rPr>
        <w:t>.</w:t>
      </w:r>
    </w:p>
    <w:p w14:paraId="4CC853F7" w14:textId="3C8E4B6A" w:rsidR="00AD7D5A" w:rsidRPr="00B74B72" w:rsidRDefault="00037373" w:rsidP="00AD7D5A">
      <w:pPr>
        <w:rPr>
          <w:b/>
          <w:noProof/>
          <w:lang w:val="fr-CA"/>
        </w:rPr>
      </w:pPr>
      <w:r w:rsidRPr="00B74B72">
        <w:rPr>
          <w:b/>
          <w:noProof/>
          <w:lang w:val="fr-CA"/>
        </w:rPr>
        <w:t>Logement</w:t>
      </w:r>
      <w:r w:rsidR="00AD7D5A" w:rsidRPr="00B74B72">
        <w:rPr>
          <w:b/>
          <w:noProof/>
          <w:lang w:val="fr-CA"/>
        </w:rPr>
        <w:t xml:space="preserve"> (Iqaluit)</w:t>
      </w:r>
    </w:p>
    <w:p w14:paraId="7B349AE3" w14:textId="0FC8C6A0" w:rsidR="00037373" w:rsidRPr="00B74B72" w:rsidRDefault="00037373" w:rsidP="00037373">
      <w:pPr>
        <w:rPr>
          <w:noProof/>
          <w:lang w:val="fr-CA"/>
        </w:rPr>
      </w:pPr>
      <w:r w:rsidRPr="00B74B72">
        <w:rPr>
          <w:noProof/>
          <w:lang w:val="fr-CA"/>
        </w:rPr>
        <w:t xml:space="preserve">Tous les participants se sont dits extrêmement inquiets du manque de logements abordables à Iqaluit. </w:t>
      </w:r>
      <w:r w:rsidR="004E720E">
        <w:rPr>
          <w:noProof/>
          <w:lang w:val="fr-CA"/>
        </w:rPr>
        <w:t>Dans les</w:t>
      </w:r>
      <w:r w:rsidRPr="00B74B72">
        <w:rPr>
          <w:noProof/>
          <w:lang w:val="fr-CA"/>
        </w:rPr>
        <w:t xml:space="preserve"> deux groupes</w:t>
      </w:r>
      <w:r w:rsidR="004E720E">
        <w:rPr>
          <w:noProof/>
          <w:lang w:val="fr-CA"/>
        </w:rPr>
        <w:t>,</w:t>
      </w:r>
      <w:r w:rsidRPr="00B74B72">
        <w:rPr>
          <w:noProof/>
          <w:lang w:val="fr-CA"/>
        </w:rPr>
        <w:t xml:space="preserve"> la question du logement</w:t>
      </w:r>
      <w:r w:rsidR="004903D0">
        <w:rPr>
          <w:noProof/>
          <w:lang w:val="fr-CA"/>
        </w:rPr>
        <w:t xml:space="preserve"> </w:t>
      </w:r>
      <w:r w:rsidR="00394D1C">
        <w:rPr>
          <w:noProof/>
          <w:lang w:val="fr-CA"/>
        </w:rPr>
        <w:t>s’est classée</w:t>
      </w:r>
      <w:r w:rsidRPr="00B74B72">
        <w:rPr>
          <w:noProof/>
          <w:lang w:val="fr-CA"/>
        </w:rPr>
        <w:t xml:space="preserve"> </w:t>
      </w:r>
      <w:r w:rsidR="004903D0">
        <w:rPr>
          <w:noProof/>
          <w:lang w:val="fr-CA"/>
        </w:rPr>
        <w:t>au nombre</w:t>
      </w:r>
      <w:r w:rsidRPr="00B74B72">
        <w:rPr>
          <w:noProof/>
          <w:lang w:val="fr-CA"/>
        </w:rPr>
        <w:t xml:space="preserve"> </w:t>
      </w:r>
      <w:r w:rsidR="004903D0">
        <w:rPr>
          <w:noProof/>
          <w:lang w:val="fr-CA"/>
        </w:rPr>
        <w:t>d</w:t>
      </w:r>
      <w:r w:rsidRPr="00B74B72">
        <w:rPr>
          <w:noProof/>
          <w:lang w:val="fr-CA"/>
        </w:rPr>
        <w:t xml:space="preserve">es principaux problèmes d’infrastructures </w:t>
      </w:r>
      <w:r w:rsidR="004903D0">
        <w:rPr>
          <w:noProof/>
          <w:lang w:val="fr-CA"/>
        </w:rPr>
        <w:t>de la</w:t>
      </w:r>
      <w:r w:rsidRPr="00B74B72">
        <w:rPr>
          <w:noProof/>
          <w:lang w:val="fr-CA"/>
        </w:rPr>
        <w:t xml:space="preserve"> communauté. </w:t>
      </w:r>
    </w:p>
    <w:p w14:paraId="01BD42C3" w14:textId="77A4D4EE" w:rsidR="00AD7D5A" w:rsidRPr="00B74B72" w:rsidRDefault="00037373" w:rsidP="00037373">
      <w:pPr>
        <w:rPr>
          <w:noProof/>
          <w:lang w:val="fr-CA"/>
        </w:rPr>
      </w:pPr>
      <w:r w:rsidRPr="00B74B72">
        <w:rPr>
          <w:noProof/>
          <w:lang w:val="fr-CA"/>
        </w:rPr>
        <w:t xml:space="preserve">Si </w:t>
      </w:r>
      <w:r w:rsidR="004903D0">
        <w:rPr>
          <w:noProof/>
          <w:lang w:val="fr-CA"/>
        </w:rPr>
        <w:t>certaines personnes</w:t>
      </w:r>
      <w:r w:rsidRPr="00B74B72">
        <w:rPr>
          <w:noProof/>
          <w:lang w:val="fr-CA"/>
        </w:rPr>
        <w:t xml:space="preserve"> avaient entendu l’annonce récente, par le gouvernement fédéral, d’un investissement de 290 millions de dollars échelonné sur huit ans pour protéger, renouveler et agrandir les logements sociaux et communautaires au Nunavut, la plupart</w:t>
      </w:r>
      <w:r w:rsidR="004903D0">
        <w:rPr>
          <w:noProof/>
          <w:lang w:val="fr-CA"/>
        </w:rPr>
        <w:t xml:space="preserve"> </w:t>
      </w:r>
      <w:r w:rsidRPr="00B74B72">
        <w:rPr>
          <w:noProof/>
          <w:lang w:val="fr-CA"/>
        </w:rPr>
        <w:t>en ignoraient les détails et doutaient fortement que ce montant suffise à répondre aux besoins. Une foule de suggestions ont été faites quant aux mesures supplémentaires que le gouvernement pourrait prendre pour s’attaquer au problème du logement au Nunavut, par exemple le recours à des méthodes de construction ou de rénovation plus créatives (achat et rénovation de maisons abandonnées, transformation de conteneurs en micromaisons, installation d’unités préfabriquées), l’adoption d’une vision à long terme pour le financement de la construction domiciliaire, et le recrutement d’entrepreneurs locaux. Sur ce dernier point, les participants ont déploré que les entrepreneurs et les gens de métier soient souvent recrutés dans le sud à grands frais, prenant</w:t>
      </w:r>
      <w:r w:rsidR="004903D0">
        <w:rPr>
          <w:noProof/>
          <w:lang w:val="fr-CA"/>
        </w:rPr>
        <w:t xml:space="preserve"> ainsi</w:t>
      </w:r>
      <w:r w:rsidRPr="00B74B72">
        <w:rPr>
          <w:noProof/>
          <w:lang w:val="fr-CA"/>
        </w:rPr>
        <w:t xml:space="preserve"> la place de travailleurs locaux (ou empêchant le développement des métiers spécialisés dans le Nord)</w:t>
      </w:r>
      <w:r w:rsidR="00AD7D5A" w:rsidRPr="00B74B72">
        <w:rPr>
          <w:noProof/>
          <w:lang w:val="fr-CA"/>
        </w:rPr>
        <w:t>.</w:t>
      </w:r>
      <w:r w:rsidR="00832861">
        <w:rPr>
          <w:noProof/>
          <w:lang w:val="fr-CA"/>
        </w:rPr>
        <w:t xml:space="preserve"> </w:t>
      </w:r>
    </w:p>
    <w:p w14:paraId="54B6EB1C" w14:textId="2241ED90" w:rsidR="00AD7D5A" w:rsidRPr="00B74B72" w:rsidRDefault="00AD7D5A" w:rsidP="00AD7D5A">
      <w:pPr>
        <w:rPr>
          <w:b/>
          <w:noProof/>
          <w:lang w:val="fr-CA"/>
        </w:rPr>
      </w:pPr>
      <w:r w:rsidRPr="00B74B72">
        <w:rPr>
          <w:b/>
          <w:noProof/>
          <w:lang w:val="fr-CA"/>
        </w:rPr>
        <w:t xml:space="preserve">Nutrition </w:t>
      </w:r>
      <w:r w:rsidR="00037373" w:rsidRPr="00B74B72">
        <w:rPr>
          <w:b/>
          <w:noProof/>
          <w:lang w:val="fr-CA"/>
        </w:rPr>
        <w:t>Nord</w:t>
      </w:r>
      <w:r w:rsidRPr="00B74B72">
        <w:rPr>
          <w:b/>
          <w:noProof/>
          <w:lang w:val="fr-CA"/>
        </w:rPr>
        <w:t xml:space="preserve"> Canada (Iqaluit)</w:t>
      </w:r>
    </w:p>
    <w:p w14:paraId="08667AD4" w14:textId="2BF11FE6" w:rsidR="00AD7D5A" w:rsidRPr="00B74B72" w:rsidRDefault="00CB198A" w:rsidP="00AD7D5A">
      <w:pPr>
        <w:rPr>
          <w:noProof/>
          <w:lang w:val="fr-CA"/>
        </w:rPr>
      </w:pPr>
      <w:r w:rsidRPr="00B74B72">
        <w:rPr>
          <w:noProof/>
          <w:lang w:val="fr-CA"/>
        </w:rPr>
        <w:t>Tous les</w:t>
      </w:r>
      <w:r w:rsidR="00AD7D5A" w:rsidRPr="00B74B72">
        <w:rPr>
          <w:noProof/>
          <w:lang w:val="fr-CA"/>
        </w:rPr>
        <w:t xml:space="preserve"> participants </w:t>
      </w:r>
      <w:r w:rsidRPr="00B74B72">
        <w:rPr>
          <w:noProof/>
          <w:lang w:val="fr-CA"/>
        </w:rPr>
        <w:t>connaissaient le programme Nutrition Nord Canada</w:t>
      </w:r>
      <w:r w:rsidR="00AD7D5A" w:rsidRPr="00B74B72">
        <w:rPr>
          <w:noProof/>
          <w:lang w:val="fr-CA"/>
        </w:rPr>
        <w:t xml:space="preserve"> (NNC)</w:t>
      </w:r>
      <w:r w:rsidRPr="00B74B72">
        <w:rPr>
          <w:noProof/>
          <w:lang w:val="fr-CA"/>
        </w:rPr>
        <w:t xml:space="preserve">, lancé en </w:t>
      </w:r>
      <w:r w:rsidR="00AD7D5A" w:rsidRPr="00B74B72">
        <w:rPr>
          <w:noProof/>
          <w:lang w:val="fr-CA"/>
        </w:rPr>
        <w:t xml:space="preserve">2011 </w:t>
      </w:r>
      <w:r w:rsidRPr="00B74B72">
        <w:rPr>
          <w:noProof/>
          <w:lang w:val="fr-CA"/>
        </w:rPr>
        <w:t>dans le but de</w:t>
      </w:r>
      <w:r w:rsidR="00AD7D5A" w:rsidRPr="00B74B72">
        <w:rPr>
          <w:noProof/>
          <w:lang w:val="fr-CA"/>
        </w:rPr>
        <w:t xml:space="preserve"> </w:t>
      </w:r>
      <w:r w:rsidRPr="00B74B72">
        <w:rPr>
          <w:noProof/>
          <w:lang w:val="fr-CA"/>
        </w:rPr>
        <w:t>rendre les</w:t>
      </w:r>
      <w:r w:rsidR="00AD7D5A" w:rsidRPr="00B74B72">
        <w:rPr>
          <w:noProof/>
          <w:lang w:val="fr-CA"/>
        </w:rPr>
        <w:t xml:space="preserve"> </w:t>
      </w:r>
      <w:r w:rsidRPr="00B74B72">
        <w:rPr>
          <w:noProof/>
          <w:lang w:val="fr-CA"/>
        </w:rPr>
        <w:t>aliments nutritifs périssable</w:t>
      </w:r>
      <w:r w:rsidR="00B74B72" w:rsidRPr="00B74B72">
        <w:rPr>
          <w:noProof/>
          <w:lang w:val="fr-CA"/>
        </w:rPr>
        <w:t>s</w:t>
      </w:r>
      <w:r w:rsidRPr="00B74B72">
        <w:rPr>
          <w:noProof/>
          <w:lang w:val="fr-CA"/>
        </w:rPr>
        <w:t xml:space="preserve"> plus abordables et plus accessibles aux résidents de communautés nordiques isolées</w:t>
      </w:r>
      <w:r w:rsidR="00AD7D5A" w:rsidRPr="00B74B72">
        <w:rPr>
          <w:noProof/>
          <w:lang w:val="fr-CA"/>
        </w:rPr>
        <w:t xml:space="preserve">. </w:t>
      </w:r>
      <w:r w:rsidR="00167E3F">
        <w:rPr>
          <w:noProof/>
          <w:lang w:val="fr-CA"/>
        </w:rPr>
        <w:t>Ils ont signalé que l</w:t>
      </w:r>
      <w:r w:rsidRPr="00B74B72">
        <w:rPr>
          <w:noProof/>
          <w:lang w:val="fr-CA"/>
        </w:rPr>
        <w:t>’insécurité alimentaire, et plus précisément le coût des aliments</w:t>
      </w:r>
      <w:r w:rsidR="00AD7D5A" w:rsidRPr="00B74B72">
        <w:rPr>
          <w:noProof/>
          <w:lang w:val="fr-CA"/>
        </w:rPr>
        <w:t xml:space="preserve">, </w:t>
      </w:r>
      <w:r w:rsidR="00167E3F">
        <w:rPr>
          <w:noProof/>
          <w:lang w:val="fr-CA"/>
        </w:rPr>
        <w:t>était</w:t>
      </w:r>
      <w:r w:rsidR="00B74B72" w:rsidRPr="00B74B72">
        <w:rPr>
          <w:noProof/>
          <w:lang w:val="fr-CA"/>
        </w:rPr>
        <w:t xml:space="preserve"> un enjeu important.</w:t>
      </w:r>
      <w:r w:rsidR="00AD7D5A" w:rsidRPr="00B74B72">
        <w:rPr>
          <w:noProof/>
          <w:lang w:val="fr-CA"/>
        </w:rPr>
        <w:t xml:space="preserve"> </w:t>
      </w:r>
      <w:r w:rsidR="00167E3F">
        <w:rPr>
          <w:noProof/>
          <w:lang w:val="fr-CA"/>
        </w:rPr>
        <w:t>De leur point de vue, bien</w:t>
      </w:r>
      <w:r w:rsidR="00B74B72" w:rsidRPr="00B74B72">
        <w:rPr>
          <w:noProof/>
          <w:lang w:val="fr-CA"/>
        </w:rPr>
        <w:t xml:space="preserve"> que </w:t>
      </w:r>
      <w:r w:rsidR="00AD7D5A" w:rsidRPr="00B74B72">
        <w:rPr>
          <w:noProof/>
          <w:lang w:val="fr-CA"/>
        </w:rPr>
        <w:t xml:space="preserve">NNC </w:t>
      </w:r>
      <w:r w:rsidR="00B74B72" w:rsidRPr="00B74B72">
        <w:rPr>
          <w:noProof/>
          <w:lang w:val="fr-CA"/>
        </w:rPr>
        <w:t>cherch</w:t>
      </w:r>
      <w:r w:rsidR="00167E3F">
        <w:rPr>
          <w:noProof/>
          <w:lang w:val="fr-CA"/>
        </w:rPr>
        <w:t>e</w:t>
      </w:r>
      <w:r w:rsidR="00B74B72" w:rsidRPr="00B74B72">
        <w:rPr>
          <w:noProof/>
          <w:lang w:val="fr-CA"/>
        </w:rPr>
        <w:t xml:space="preserve"> à régler ce problème et </w:t>
      </w:r>
      <w:r w:rsidR="00167E3F">
        <w:rPr>
          <w:noProof/>
          <w:lang w:val="fr-CA"/>
        </w:rPr>
        <w:t>que</w:t>
      </w:r>
      <w:r w:rsidR="00B74B72" w:rsidRPr="00B74B72">
        <w:rPr>
          <w:noProof/>
          <w:lang w:val="fr-CA"/>
        </w:rPr>
        <w:t xml:space="preserve"> son inclusion d’aliments </w:t>
      </w:r>
      <w:r w:rsidR="00B74B72">
        <w:rPr>
          <w:noProof/>
          <w:lang w:val="fr-CA"/>
        </w:rPr>
        <w:t>«</w:t>
      </w:r>
      <w:r w:rsidR="001F684A">
        <w:rPr>
          <w:noProof/>
          <w:lang w:val="fr-CA"/>
        </w:rPr>
        <w:t> </w:t>
      </w:r>
      <w:r w:rsidR="00B74B72" w:rsidRPr="00B74B72">
        <w:rPr>
          <w:noProof/>
          <w:lang w:val="fr-CA"/>
        </w:rPr>
        <w:t>traditionnels</w:t>
      </w:r>
      <w:r w:rsidR="001F684A">
        <w:rPr>
          <w:noProof/>
          <w:lang w:val="fr-CA"/>
        </w:rPr>
        <w:t> </w:t>
      </w:r>
      <w:r w:rsidR="00B74B72">
        <w:rPr>
          <w:noProof/>
          <w:lang w:val="fr-CA"/>
        </w:rPr>
        <w:t>»</w:t>
      </w:r>
      <w:r w:rsidR="00B74B72" w:rsidRPr="00B74B72">
        <w:rPr>
          <w:noProof/>
          <w:lang w:val="fr-CA"/>
        </w:rPr>
        <w:t xml:space="preserve"> ou </w:t>
      </w:r>
      <w:r w:rsidR="00B74B72">
        <w:rPr>
          <w:noProof/>
          <w:lang w:val="fr-CA"/>
        </w:rPr>
        <w:t>«</w:t>
      </w:r>
      <w:r w:rsidR="001F684A">
        <w:rPr>
          <w:noProof/>
          <w:lang w:val="fr-CA"/>
        </w:rPr>
        <w:t> </w:t>
      </w:r>
      <w:r w:rsidR="00B74B72" w:rsidRPr="00B74B72">
        <w:rPr>
          <w:noProof/>
          <w:lang w:val="fr-CA"/>
        </w:rPr>
        <w:t>prélevés dans la nature</w:t>
      </w:r>
      <w:r w:rsidR="001F684A">
        <w:rPr>
          <w:noProof/>
          <w:lang w:val="fr-CA"/>
        </w:rPr>
        <w:t> </w:t>
      </w:r>
      <w:r w:rsidR="00B74B72">
        <w:rPr>
          <w:noProof/>
          <w:lang w:val="fr-CA"/>
        </w:rPr>
        <w:t>»</w:t>
      </w:r>
      <w:r w:rsidR="00167E3F">
        <w:rPr>
          <w:noProof/>
          <w:lang w:val="fr-CA"/>
        </w:rPr>
        <w:t xml:space="preserve"> soit louable</w:t>
      </w:r>
      <w:r w:rsidR="00AD7D5A" w:rsidRPr="00B74B72">
        <w:rPr>
          <w:noProof/>
          <w:lang w:val="fr-CA"/>
        </w:rPr>
        <w:t>,</w:t>
      </w:r>
      <w:r w:rsidR="00B74B72">
        <w:rPr>
          <w:noProof/>
          <w:lang w:val="fr-CA"/>
        </w:rPr>
        <w:t xml:space="preserve"> </w:t>
      </w:r>
      <w:r w:rsidR="004903D0">
        <w:rPr>
          <w:noProof/>
          <w:lang w:val="fr-CA"/>
        </w:rPr>
        <w:t>le</w:t>
      </w:r>
      <w:r w:rsidR="00167E3F">
        <w:rPr>
          <w:noProof/>
          <w:lang w:val="fr-CA"/>
        </w:rPr>
        <w:t xml:space="preserve"> programme a pour</w:t>
      </w:r>
      <w:r w:rsidR="00B74B72">
        <w:rPr>
          <w:noProof/>
          <w:lang w:val="fr-CA"/>
        </w:rPr>
        <w:t xml:space="preserve"> principal défaut </w:t>
      </w:r>
      <w:r w:rsidR="00167E3F">
        <w:rPr>
          <w:noProof/>
          <w:lang w:val="fr-CA"/>
        </w:rPr>
        <w:t xml:space="preserve">le montant de </w:t>
      </w:r>
      <w:r w:rsidR="00B74B72">
        <w:rPr>
          <w:noProof/>
          <w:lang w:val="fr-CA"/>
        </w:rPr>
        <w:t xml:space="preserve">la </w:t>
      </w:r>
      <w:r w:rsidR="004903D0">
        <w:rPr>
          <w:noProof/>
          <w:lang w:val="fr-CA"/>
        </w:rPr>
        <w:t>contribution</w:t>
      </w:r>
      <w:r w:rsidR="00B74B72">
        <w:rPr>
          <w:noProof/>
          <w:lang w:val="fr-CA"/>
        </w:rPr>
        <w:t>,</w:t>
      </w:r>
      <w:r w:rsidR="00AD7D5A" w:rsidRPr="00B74B72">
        <w:rPr>
          <w:noProof/>
          <w:lang w:val="fr-CA"/>
        </w:rPr>
        <w:t xml:space="preserve"> </w:t>
      </w:r>
      <w:r w:rsidR="00167E3F">
        <w:rPr>
          <w:noProof/>
          <w:lang w:val="fr-CA"/>
        </w:rPr>
        <w:t xml:space="preserve">qui est </w:t>
      </w:r>
      <w:r w:rsidR="00B74B72">
        <w:rPr>
          <w:noProof/>
          <w:lang w:val="fr-CA"/>
        </w:rPr>
        <w:t xml:space="preserve">relativement insignifiant </w:t>
      </w:r>
      <w:r w:rsidR="00167E3F">
        <w:rPr>
          <w:noProof/>
          <w:lang w:val="fr-CA"/>
        </w:rPr>
        <w:t>vu</w:t>
      </w:r>
      <w:r w:rsidR="00B74B72">
        <w:rPr>
          <w:noProof/>
          <w:lang w:val="fr-CA"/>
        </w:rPr>
        <w:t xml:space="preserve"> </w:t>
      </w:r>
      <w:r w:rsidR="00167E3F">
        <w:rPr>
          <w:noProof/>
          <w:lang w:val="fr-CA"/>
        </w:rPr>
        <w:t>la ch</w:t>
      </w:r>
      <w:r w:rsidR="008B28E5">
        <w:rPr>
          <w:noProof/>
          <w:lang w:val="fr-CA"/>
        </w:rPr>
        <w:t>er</w:t>
      </w:r>
      <w:r w:rsidR="00167E3F">
        <w:rPr>
          <w:noProof/>
          <w:lang w:val="fr-CA"/>
        </w:rPr>
        <w:t>té</w:t>
      </w:r>
      <w:r w:rsidR="00B74B72">
        <w:rPr>
          <w:noProof/>
          <w:lang w:val="fr-CA"/>
        </w:rPr>
        <w:t xml:space="preserve"> de</w:t>
      </w:r>
      <w:r w:rsidR="00167E3F">
        <w:rPr>
          <w:noProof/>
          <w:lang w:val="fr-CA"/>
        </w:rPr>
        <w:t>s</w:t>
      </w:r>
      <w:r w:rsidR="00B74B72">
        <w:rPr>
          <w:noProof/>
          <w:lang w:val="fr-CA"/>
        </w:rPr>
        <w:t xml:space="preserve"> </w:t>
      </w:r>
      <w:r w:rsidR="00167E3F">
        <w:rPr>
          <w:noProof/>
          <w:lang w:val="fr-CA"/>
        </w:rPr>
        <w:t>produits alimentaires de base</w:t>
      </w:r>
      <w:r w:rsidR="00AD7D5A" w:rsidRPr="00B74B72">
        <w:rPr>
          <w:noProof/>
          <w:lang w:val="fr-CA"/>
        </w:rPr>
        <w:t xml:space="preserve">. </w:t>
      </w:r>
      <w:r w:rsidR="00167E3F">
        <w:rPr>
          <w:noProof/>
          <w:lang w:val="fr-CA"/>
        </w:rPr>
        <w:t xml:space="preserve">De nombreux participants ont été d’accord pour dire qu’ils ne remarquaient guère les économies réalisées </w:t>
      </w:r>
      <w:r w:rsidR="004903D0">
        <w:rPr>
          <w:noProof/>
          <w:lang w:val="fr-CA"/>
        </w:rPr>
        <w:t>par ce</w:t>
      </w:r>
      <w:r w:rsidR="00167E3F">
        <w:rPr>
          <w:noProof/>
          <w:lang w:val="fr-CA"/>
        </w:rPr>
        <w:t xml:space="preserve"> moyen</w:t>
      </w:r>
      <w:r w:rsidR="00AD7D5A" w:rsidRPr="00B74B72">
        <w:rPr>
          <w:noProof/>
          <w:lang w:val="fr-CA"/>
        </w:rPr>
        <w:t xml:space="preserve">, </w:t>
      </w:r>
      <w:r w:rsidR="00167E3F">
        <w:rPr>
          <w:noProof/>
          <w:lang w:val="fr-CA"/>
        </w:rPr>
        <w:t xml:space="preserve">car </w:t>
      </w:r>
      <w:r w:rsidR="00CD40B3">
        <w:rPr>
          <w:noProof/>
          <w:lang w:val="fr-CA"/>
        </w:rPr>
        <w:t>elles sont</w:t>
      </w:r>
      <w:r w:rsidR="00167E3F">
        <w:rPr>
          <w:noProof/>
          <w:lang w:val="fr-CA"/>
        </w:rPr>
        <w:t xml:space="preserve"> </w:t>
      </w:r>
      <w:r w:rsidR="004903D0">
        <w:rPr>
          <w:noProof/>
          <w:lang w:val="fr-CA"/>
        </w:rPr>
        <w:t>infime</w:t>
      </w:r>
      <w:r w:rsidR="00CD40B3">
        <w:rPr>
          <w:noProof/>
          <w:lang w:val="fr-CA"/>
        </w:rPr>
        <w:t>s</w:t>
      </w:r>
      <w:r w:rsidR="00411E1D" w:rsidRPr="00B74B72">
        <w:rPr>
          <w:noProof/>
          <w:lang w:val="fr-CA"/>
        </w:rPr>
        <w:t xml:space="preserve"> </w:t>
      </w:r>
      <w:r w:rsidR="00167E3F">
        <w:rPr>
          <w:noProof/>
          <w:lang w:val="fr-CA"/>
        </w:rPr>
        <w:t>à côté d</w:t>
      </w:r>
      <w:r w:rsidR="004903D0">
        <w:rPr>
          <w:noProof/>
          <w:lang w:val="fr-CA"/>
        </w:rPr>
        <w:t>u montant de</w:t>
      </w:r>
      <w:r w:rsidR="00167E3F">
        <w:rPr>
          <w:noProof/>
          <w:lang w:val="fr-CA"/>
        </w:rPr>
        <w:t xml:space="preserve"> leur facture d’épicerie hebdomadaire ou mensuelle</w:t>
      </w:r>
      <w:r w:rsidR="00AD7D5A" w:rsidRPr="00B74B72">
        <w:rPr>
          <w:noProof/>
          <w:lang w:val="fr-CA"/>
        </w:rPr>
        <w:t>.</w:t>
      </w:r>
    </w:p>
    <w:p w14:paraId="5E82BF7A" w14:textId="783832B7" w:rsidR="00AD7D5A" w:rsidRPr="00B74B72" w:rsidRDefault="000775A6" w:rsidP="00AD7D5A">
      <w:pPr>
        <w:rPr>
          <w:noProof/>
          <w:lang w:val="fr-CA"/>
        </w:rPr>
      </w:pPr>
      <w:r>
        <w:rPr>
          <w:noProof/>
          <w:lang w:val="fr-CA"/>
        </w:rPr>
        <w:t>Les p</w:t>
      </w:r>
      <w:r w:rsidR="00AD7D5A" w:rsidRPr="00B74B72">
        <w:rPr>
          <w:noProof/>
          <w:lang w:val="fr-CA"/>
        </w:rPr>
        <w:t xml:space="preserve">articipants </w:t>
      </w:r>
      <w:r>
        <w:rPr>
          <w:noProof/>
          <w:lang w:val="fr-CA"/>
        </w:rPr>
        <w:t>ne savaient trop que suggérer au gouvernement du Canada pour mettre fin à l’insécurité alimentaire</w:t>
      </w:r>
      <w:r w:rsidR="00AD7D5A" w:rsidRPr="00B74B72">
        <w:rPr>
          <w:noProof/>
          <w:lang w:val="fr-CA"/>
        </w:rPr>
        <w:t xml:space="preserve"> </w:t>
      </w:r>
      <w:r>
        <w:rPr>
          <w:noProof/>
          <w:lang w:val="fr-CA"/>
        </w:rPr>
        <w:t>au</w:t>
      </w:r>
      <w:r w:rsidR="00AD7D5A" w:rsidRPr="00B74B72">
        <w:rPr>
          <w:noProof/>
          <w:lang w:val="fr-CA"/>
        </w:rPr>
        <w:t xml:space="preserve"> Nunavut.</w:t>
      </w:r>
      <w:r>
        <w:rPr>
          <w:noProof/>
          <w:lang w:val="fr-CA"/>
        </w:rPr>
        <w:t xml:space="preserve"> Ce</w:t>
      </w:r>
      <w:r w:rsidR="00707BF6">
        <w:rPr>
          <w:noProof/>
          <w:lang w:val="fr-CA"/>
        </w:rPr>
        <w:t>rtains ont recommandé l’octroi de nouvelles subventions pour couvrir</w:t>
      </w:r>
      <w:r w:rsidR="00AD7D5A" w:rsidRPr="00B74B72">
        <w:rPr>
          <w:noProof/>
          <w:lang w:val="fr-CA"/>
        </w:rPr>
        <w:t xml:space="preserve"> </w:t>
      </w:r>
      <w:r w:rsidR="00707BF6">
        <w:rPr>
          <w:noProof/>
          <w:lang w:val="fr-CA"/>
        </w:rPr>
        <w:t>les frais de transport</w:t>
      </w:r>
      <w:r w:rsidR="00AD7D5A" w:rsidRPr="00B74B72">
        <w:rPr>
          <w:noProof/>
          <w:lang w:val="fr-CA"/>
        </w:rPr>
        <w:t>.</w:t>
      </w:r>
      <w:r w:rsidR="00832861">
        <w:rPr>
          <w:noProof/>
          <w:lang w:val="fr-CA"/>
        </w:rPr>
        <w:t xml:space="preserve"> </w:t>
      </w:r>
      <w:r w:rsidR="00707BF6">
        <w:rPr>
          <w:noProof/>
          <w:lang w:val="fr-CA"/>
        </w:rPr>
        <w:t>D’autres</w:t>
      </w:r>
      <w:r w:rsidR="00AD7D5A" w:rsidRPr="00B74B72">
        <w:rPr>
          <w:noProof/>
          <w:lang w:val="fr-CA"/>
        </w:rPr>
        <w:t xml:space="preserve"> </w:t>
      </w:r>
      <w:r w:rsidR="00707BF6">
        <w:rPr>
          <w:noProof/>
          <w:lang w:val="fr-CA"/>
        </w:rPr>
        <w:t>ont plutôt proposé de développer le secteur agricole local, par exemple</w:t>
      </w:r>
      <w:r w:rsidR="00AD7D5A" w:rsidRPr="00B74B72">
        <w:rPr>
          <w:noProof/>
          <w:lang w:val="fr-CA"/>
        </w:rPr>
        <w:t xml:space="preserve"> </w:t>
      </w:r>
      <w:r w:rsidR="00707BF6">
        <w:rPr>
          <w:noProof/>
          <w:lang w:val="fr-CA"/>
        </w:rPr>
        <w:t>en soutenant les chasseurs locaux, en prélevant davantage d’aliments issus de la flore et de la faune sauvage</w:t>
      </w:r>
      <w:r w:rsidR="004903D0">
        <w:rPr>
          <w:noProof/>
          <w:lang w:val="fr-CA"/>
        </w:rPr>
        <w:t>,</w:t>
      </w:r>
      <w:r w:rsidR="00581252">
        <w:rPr>
          <w:noProof/>
          <w:lang w:val="fr-CA"/>
        </w:rPr>
        <w:t xml:space="preserve"> et en</w:t>
      </w:r>
      <w:r w:rsidR="00AD7D5A" w:rsidRPr="00B74B72">
        <w:rPr>
          <w:noProof/>
          <w:lang w:val="fr-CA"/>
        </w:rPr>
        <w:t xml:space="preserve"> </w:t>
      </w:r>
      <w:r w:rsidR="00581252">
        <w:rPr>
          <w:noProof/>
          <w:lang w:val="fr-CA"/>
        </w:rPr>
        <w:t>offrant de l’aide aux personnes qui souhaitent</w:t>
      </w:r>
      <w:r w:rsidR="00AD7D5A" w:rsidRPr="00B74B72">
        <w:rPr>
          <w:noProof/>
          <w:lang w:val="fr-CA"/>
        </w:rPr>
        <w:t xml:space="preserve"> </w:t>
      </w:r>
      <w:r w:rsidR="00581252">
        <w:rPr>
          <w:noProof/>
          <w:lang w:val="fr-CA"/>
        </w:rPr>
        <w:t>pratiquer</w:t>
      </w:r>
      <w:r w:rsidR="00AD7D5A" w:rsidRPr="00B74B72">
        <w:rPr>
          <w:noProof/>
          <w:lang w:val="fr-CA"/>
        </w:rPr>
        <w:t xml:space="preserve"> </w:t>
      </w:r>
      <w:r w:rsidR="00581252">
        <w:rPr>
          <w:noProof/>
          <w:lang w:val="fr-CA"/>
        </w:rPr>
        <w:t>l’</w:t>
      </w:r>
      <w:r w:rsidR="00AD7D5A" w:rsidRPr="00B74B72">
        <w:rPr>
          <w:noProof/>
          <w:lang w:val="fr-CA"/>
        </w:rPr>
        <w:t xml:space="preserve">horticulture </w:t>
      </w:r>
      <w:r w:rsidR="00581252">
        <w:rPr>
          <w:noProof/>
          <w:lang w:val="fr-CA"/>
        </w:rPr>
        <w:t>ou l’élevage localement</w:t>
      </w:r>
      <w:r w:rsidR="00AD7D5A" w:rsidRPr="00B74B72">
        <w:rPr>
          <w:noProof/>
          <w:lang w:val="fr-CA"/>
        </w:rPr>
        <w:t>.</w:t>
      </w:r>
    </w:p>
    <w:p w14:paraId="58F88874" w14:textId="5ED1417B" w:rsidR="00AD7D5A" w:rsidRPr="00B74B72" w:rsidRDefault="00CD40B3" w:rsidP="00AD7D5A">
      <w:pPr>
        <w:rPr>
          <w:b/>
          <w:noProof/>
          <w:lang w:val="fr-CA"/>
        </w:rPr>
      </w:pPr>
      <w:r>
        <w:rPr>
          <w:b/>
          <w:noProof/>
          <w:lang w:val="fr-CA"/>
        </w:rPr>
        <w:t>Enjeux</w:t>
      </w:r>
      <w:r w:rsidR="00581252">
        <w:rPr>
          <w:b/>
          <w:noProof/>
          <w:lang w:val="fr-CA"/>
        </w:rPr>
        <w:t xml:space="preserve"> autochtones</w:t>
      </w:r>
      <w:r w:rsidR="00AD7D5A" w:rsidRPr="00B74B72">
        <w:rPr>
          <w:b/>
          <w:noProof/>
          <w:lang w:val="fr-CA"/>
        </w:rPr>
        <w:t xml:space="preserve"> (Iqaluit)</w:t>
      </w:r>
    </w:p>
    <w:p w14:paraId="5197C1E0" w14:textId="2A7E7E64" w:rsidR="00AD7D5A" w:rsidRPr="00B74B72" w:rsidRDefault="00A77E74" w:rsidP="00AD7D5A">
      <w:pPr>
        <w:rPr>
          <w:noProof/>
          <w:lang w:val="fr-CA"/>
        </w:rPr>
      </w:pPr>
      <w:r>
        <w:rPr>
          <w:noProof/>
          <w:lang w:val="fr-CA"/>
        </w:rPr>
        <w:t>Les p</w:t>
      </w:r>
      <w:r w:rsidR="00AD7D5A" w:rsidRPr="00B74B72">
        <w:rPr>
          <w:noProof/>
          <w:lang w:val="fr-CA"/>
        </w:rPr>
        <w:t xml:space="preserve">articipants </w:t>
      </w:r>
      <w:r w:rsidR="0087588B">
        <w:rPr>
          <w:noProof/>
          <w:lang w:val="fr-CA"/>
        </w:rPr>
        <w:t xml:space="preserve">ont clairement indiqué qu’il serait possible d’en faire plus pour améliorer </w:t>
      </w:r>
      <w:r w:rsidR="001978C4">
        <w:rPr>
          <w:noProof/>
          <w:lang w:val="fr-CA"/>
        </w:rPr>
        <w:t>l</w:t>
      </w:r>
      <w:r w:rsidR="00F23175">
        <w:rPr>
          <w:noProof/>
          <w:lang w:val="fr-CA"/>
        </w:rPr>
        <w:t>es</w:t>
      </w:r>
      <w:r w:rsidR="001978C4">
        <w:rPr>
          <w:noProof/>
          <w:lang w:val="fr-CA"/>
        </w:rPr>
        <w:t xml:space="preserve"> relation</w:t>
      </w:r>
      <w:r w:rsidR="00F23175">
        <w:rPr>
          <w:noProof/>
          <w:lang w:val="fr-CA"/>
        </w:rPr>
        <w:t>s</w:t>
      </w:r>
      <w:r w:rsidR="0087588B">
        <w:rPr>
          <w:noProof/>
          <w:lang w:val="fr-CA"/>
        </w:rPr>
        <w:t xml:space="preserve"> entre le gouvernement du Canada et les peuples autochtones</w:t>
      </w:r>
      <w:r w:rsidR="001978C4">
        <w:rPr>
          <w:noProof/>
          <w:lang w:val="fr-CA"/>
        </w:rPr>
        <w:t>, encore que peu d’entre eux</w:t>
      </w:r>
      <w:r w:rsidR="00AD7D5A" w:rsidRPr="00B74B72">
        <w:rPr>
          <w:noProof/>
          <w:lang w:val="fr-CA"/>
        </w:rPr>
        <w:t xml:space="preserve"> </w:t>
      </w:r>
      <w:r w:rsidR="001978C4">
        <w:rPr>
          <w:noProof/>
          <w:lang w:val="fr-CA"/>
        </w:rPr>
        <w:t xml:space="preserve">aient jugé </w:t>
      </w:r>
      <w:r w:rsidR="007D3AC2">
        <w:rPr>
          <w:noProof/>
          <w:lang w:val="fr-CA"/>
        </w:rPr>
        <w:t>que celle</w:t>
      </w:r>
      <w:r w:rsidR="00F23175">
        <w:rPr>
          <w:noProof/>
          <w:lang w:val="fr-CA"/>
        </w:rPr>
        <w:t>s</w:t>
      </w:r>
      <w:r w:rsidR="007D3AC2">
        <w:rPr>
          <w:noProof/>
          <w:lang w:val="fr-CA"/>
        </w:rPr>
        <w:t>-ci</w:t>
      </w:r>
      <w:r w:rsidR="001978C4">
        <w:rPr>
          <w:noProof/>
          <w:lang w:val="fr-CA"/>
        </w:rPr>
        <w:t xml:space="preserve"> évoluai</w:t>
      </w:r>
      <w:r w:rsidR="00F23175">
        <w:rPr>
          <w:noProof/>
          <w:lang w:val="fr-CA"/>
        </w:rPr>
        <w:t>en</w:t>
      </w:r>
      <w:r w:rsidR="001978C4">
        <w:rPr>
          <w:noProof/>
          <w:lang w:val="fr-CA"/>
        </w:rPr>
        <w:t xml:space="preserve">t dans la mauvaise direction. Cela dit, plusieurs ont </w:t>
      </w:r>
      <w:r w:rsidR="00F23175">
        <w:rPr>
          <w:noProof/>
          <w:lang w:val="fr-CA"/>
        </w:rPr>
        <w:t>noté</w:t>
      </w:r>
      <w:r w:rsidR="001978C4">
        <w:rPr>
          <w:noProof/>
          <w:lang w:val="fr-CA"/>
        </w:rPr>
        <w:t xml:space="preserve"> que la qualité </w:t>
      </w:r>
      <w:r w:rsidR="00F23175">
        <w:rPr>
          <w:noProof/>
          <w:lang w:val="fr-CA"/>
        </w:rPr>
        <w:t>des relations</w:t>
      </w:r>
      <w:r w:rsidR="001978C4">
        <w:rPr>
          <w:noProof/>
          <w:lang w:val="fr-CA"/>
        </w:rPr>
        <w:t xml:space="preserve"> vari</w:t>
      </w:r>
      <w:r w:rsidR="005110DF">
        <w:rPr>
          <w:noProof/>
          <w:lang w:val="fr-CA"/>
        </w:rPr>
        <w:t>ait</w:t>
      </w:r>
      <w:r w:rsidR="001978C4">
        <w:rPr>
          <w:noProof/>
          <w:lang w:val="fr-CA"/>
        </w:rPr>
        <w:t xml:space="preserve"> en fonction du lieu</w:t>
      </w:r>
      <w:r w:rsidR="00AD7D5A" w:rsidRPr="00B74B72">
        <w:rPr>
          <w:noProof/>
          <w:lang w:val="fr-CA"/>
        </w:rPr>
        <w:t>.</w:t>
      </w:r>
    </w:p>
    <w:p w14:paraId="45F59241" w14:textId="7CA1553F" w:rsidR="00AD7D5A" w:rsidRPr="00B74B72" w:rsidRDefault="00F23175" w:rsidP="00AD7D5A">
      <w:pPr>
        <w:rPr>
          <w:noProof/>
          <w:lang w:val="fr-CA"/>
        </w:rPr>
      </w:pPr>
      <w:r>
        <w:rPr>
          <w:noProof/>
          <w:lang w:val="fr-CA"/>
        </w:rPr>
        <w:t>Les participants</w:t>
      </w:r>
      <w:r w:rsidRPr="00B74B72">
        <w:rPr>
          <w:noProof/>
          <w:lang w:val="fr-CA"/>
        </w:rPr>
        <w:t xml:space="preserve"> </w:t>
      </w:r>
      <w:r>
        <w:rPr>
          <w:noProof/>
          <w:lang w:val="fr-CA"/>
        </w:rPr>
        <w:t xml:space="preserve">étaient d’avis que, pour avancer </w:t>
      </w:r>
      <w:r w:rsidR="004903D0">
        <w:rPr>
          <w:noProof/>
          <w:lang w:val="fr-CA"/>
        </w:rPr>
        <w:t>sur</w:t>
      </w:r>
      <w:r>
        <w:rPr>
          <w:noProof/>
          <w:lang w:val="fr-CA"/>
        </w:rPr>
        <w:t xml:space="preserve"> la voie de la réconciliation </w:t>
      </w:r>
      <w:r w:rsidR="001978C4">
        <w:rPr>
          <w:noProof/>
          <w:lang w:val="fr-CA"/>
        </w:rPr>
        <w:t xml:space="preserve">et mieux soutenir les communautés autochtones, surtout dans le Nord, </w:t>
      </w:r>
      <w:r w:rsidR="005110DF">
        <w:rPr>
          <w:noProof/>
          <w:lang w:val="fr-CA"/>
        </w:rPr>
        <w:t xml:space="preserve">le gouvernement devrait </w:t>
      </w:r>
      <w:r>
        <w:rPr>
          <w:noProof/>
          <w:lang w:val="fr-CA"/>
        </w:rPr>
        <w:t>montrer</w:t>
      </w:r>
      <w:r w:rsidR="005110DF">
        <w:rPr>
          <w:noProof/>
          <w:lang w:val="fr-CA"/>
        </w:rPr>
        <w:t xml:space="preserve"> plus de respect</w:t>
      </w:r>
      <w:r w:rsidR="00AD7D5A" w:rsidRPr="00B74B72">
        <w:rPr>
          <w:noProof/>
          <w:lang w:val="fr-CA"/>
        </w:rPr>
        <w:t xml:space="preserve"> </w:t>
      </w:r>
      <w:r>
        <w:rPr>
          <w:noProof/>
          <w:lang w:val="fr-CA"/>
        </w:rPr>
        <w:t>pour</w:t>
      </w:r>
      <w:r w:rsidR="005110DF">
        <w:rPr>
          <w:noProof/>
          <w:lang w:val="fr-CA"/>
        </w:rPr>
        <w:t xml:space="preserve"> l</w:t>
      </w:r>
      <w:r w:rsidR="004903D0">
        <w:rPr>
          <w:noProof/>
          <w:lang w:val="fr-CA"/>
        </w:rPr>
        <w:t>a culture, les</w:t>
      </w:r>
      <w:r w:rsidR="005110DF">
        <w:rPr>
          <w:noProof/>
          <w:lang w:val="fr-CA"/>
        </w:rPr>
        <w:t xml:space="preserve"> traditions</w:t>
      </w:r>
      <w:r w:rsidR="004903D0">
        <w:rPr>
          <w:noProof/>
          <w:lang w:val="fr-CA"/>
        </w:rPr>
        <w:t xml:space="preserve"> et les </w:t>
      </w:r>
      <w:r w:rsidR="005110DF">
        <w:rPr>
          <w:noProof/>
          <w:lang w:val="fr-CA"/>
        </w:rPr>
        <w:t>langue</w:t>
      </w:r>
      <w:r w:rsidR="004903D0">
        <w:rPr>
          <w:noProof/>
          <w:lang w:val="fr-CA"/>
        </w:rPr>
        <w:t>s</w:t>
      </w:r>
      <w:r w:rsidR="005110DF">
        <w:rPr>
          <w:noProof/>
          <w:lang w:val="fr-CA"/>
        </w:rPr>
        <w:t xml:space="preserve"> inuites, et </w:t>
      </w:r>
      <w:r>
        <w:rPr>
          <w:noProof/>
          <w:lang w:val="fr-CA"/>
        </w:rPr>
        <w:t>honorer</w:t>
      </w:r>
      <w:r w:rsidR="005110DF">
        <w:rPr>
          <w:noProof/>
          <w:lang w:val="fr-CA"/>
        </w:rPr>
        <w:t xml:space="preserve"> son engagement de traiter avec les Inuits et les autres peuples autoch</w:t>
      </w:r>
      <w:r w:rsidR="008B28E5">
        <w:rPr>
          <w:noProof/>
          <w:lang w:val="fr-CA"/>
        </w:rPr>
        <w:t>t</w:t>
      </w:r>
      <w:r w:rsidR="005110DF">
        <w:rPr>
          <w:noProof/>
          <w:lang w:val="fr-CA"/>
        </w:rPr>
        <w:t xml:space="preserve">ones </w:t>
      </w:r>
      <w:r>
        <w:rPr>
          <w:noProof/>
          <w:lang w:val="fr-CA"/>
        </w:rPr>
        <w:t>«</w:t>
      </w:r>
      <w:r w:rsidR="001F684A">
        <w:rPr>
          <w:noProof/>
          <w:lang w:val="fr-CA"/>
        </w:rPr>
        <w:t> </w:t>
      </w:r>
      <w:r>
        <w:rPr>
          <w:noProof/>
          <w:lang w:val="fr-CA"/>
        </w:rPr>
        <w:t>de nation à nation</w:t>
      </w:r>
      <w:r w:rsidR="001F684A">
        <w:rPr>
          <w:noProof/>
          <w:lang w:val="fr-CA"/>
        </w:rPr>
        <w:t> </w:t>
      </w:r>
      <w:r>
        <w:rPr>
          <w:noProof/>
          <w:lang w:val="fr-CA"/>
        </w:rPr>
        <w:t>»</w:t>
      </w:r>
      <w:r w:rsidR="00AD7D5A" w:rsidRPr="00B74B72">
        <w:rPr>
          <w:noProof/>
          <w:lang w:val="fr-CA"/>
        </w:rPr>
        <w:t>.</w:t>
      </w:r>
    </w:p>
    <w:p w14:paraId="78F8A652" w14:textId="62A1E935" w:rsidR="00AD7D5A" w:rsidRPr="00B74B72" w:rsidRDefault="00187CF3" w:rsidP="00AD7D5A">
      <w:pPr>
        <w:rPr>
          <w:noProof/>
          <w:lang w:val="fr-CA"/>
        </w:rPr>
      </w:pPr>
      <w:r>
        <w:rPr>
          <w:noProof/>
          <w:lang w:val="fr-CA"/>
        </w:rPr>
        <w:t>La</w:t>
      </w:r>
      <w:r w:rsidR="00F23175">
        <w:rPr>
          <w:noProof/>
          <w:lang w:val="fr-CA"/>
        </w:rPr>
        <w:t xml:space="preserve"> «</w:t>
      </w:r>
      <w:r w:rsidR="001F684A">
        <w:rPr>
          <w:noProof/>
          <w:lang w:val="fr-CA"/>
        </w:rPr>
        <w:t> </w:t>
      </w:r>
      <w:r w:rsidR="00F23175">
        <w:rPr>
          <w:noProof/>
          <w:lang w:val="fr-CA"/>
        </w:rPr>
        <w:t>réconciliation</w:t>
      </w:r>
      <w:r w:rsidR="001F684A">
        <w:rPr>
          <w:noProof/>
          <w:lang w:val="fr-CA"/>
        </w:rPr>
        <w:t> </w:t>
      </w:r>
      <w:r w:rsidR="00F23175">
        <w:rPr>
          <w:noProof/>
          <w:lang w:val="fr-CA"/>
        </w:rPr>
        <w:t>»</w:t>
      </w:r>
      <w:r w:rsidR="00F4262F" w:rsidRPr="00B74B72">
        <w:rPr>
          <w:noProof/>
          <w:lang w:val="fr-CA"/>
        </w:rPr>
        <w:t xml:space="preserve"> </w:t>
      </w:r>
      <w:r w:rsidR="00F23175">
        <w:rPr>
          <w:noProof/>
          <w:lang w:val="fr-CA"/>
        </w:rPr>
        <w:t xml:space="preserve">revêt des sens </w:t>
      </w:r>
      <w:r w:rsidR="00693D37">
        <w:rPr>
          <w:noProof/>
          <w:lang w:val="fr-CA"/>
        </w:rPr>
        <w:t>différents</w:t>
      </w:r>
      <w:r w:rsidR="00F23175">
        <w:rPr>
          <w:noProof/>
          <w:lang w:val="fr-CA"/>
        </w:rPr>
        <w:t xml:space="preserve"> </w:t>
      </w:r>
      <w:r w:rsidR="00693D37">
        <w:rPr>
          <w:noProof/>
          <w:lang w:val="fr-CA"/>
        </w:rPr>
        <w:t>selon</w:t>
      </w:r>
      <w:r w:rsidR="00F23175">
        <w:rPr>
          <w:noProof/>
          <w:lang w:val="fr-CA"/>
        </w:rPr>
        <w:t xml:space="preserve"> les</w:t>
      </w:r>
      <w:r w:rsidR="00ED5844" w:rsidRPr="00B74B72">
        <w:rPr>
          <w:noProof/>
          <w:lang w:val="fr-CA"/>
        </w:rPr>
        <w:t xml:space="preserve"> participants, </w:t>
      </w:r>
      <w:r w:rsidR="00F23175">
        <w:rPr>
          <w:noProof/>
          <w:lang w:val="fr-CA"/>
        </w:rPr>
        <w:t>notamment : la présentation d’excuses pour</w:t>
      </w:r>
      <w:r w:rsidR="00AD7D5A" w:rsidRPr="00B74B72">
        <w:rPr>
          <w:noProof/>
          <w:lang w:val="fr-CA"/>
        </w:rPr>
        <w:t xml:space="preserve"> </w:t>
      </w:r>
      <w:r w:rsidR="00F23175">
        <w:rPr>
          <w:noProof/>
          <w:lang w:val="fr-CA"/>
        </w:rPr>
        <w:t>les injustices historiques</w:t>
      </w:r>
      <w:r w:rsidR="004F00F2">
        <w:rPr>
          <w:noProof/>
          <w:lang w:val="fr-CA"/>
        </w:rPr>
        <w:t xml:space="preserve"> qui ont été commises</w:t>
      </w:r>
      <w:r w:rsidR="00F23175">
        <w:rPr>
          <w:noProof/>
          <w:lang w:val="fr-CA"/>
        </w:rPr>
        <w:t>, l’injection de fonds</w:t>
      </w:r>
      <w:r w:rsidR="00693D37">
        <w:rPr>
          <w:noProof/>
          <w:lang w:val="fr-CA"/>
        </w:rPr>
        <w:t xml:space="preserve"> dans les communautés autochtones</w:t>
      </w:r>
      <w:r w:rsidR="00F23175">
        <w:rPr>
          <w:noProof/>
          <w:lang w:val="fr-CA"/>
        </w:rPr>
        <w:t xml:space="preserve"> </w:t>
      </w:r>
      <w:r>
        <w:rPr>
          <w:noProof/>
          <w:lang w:val="fr-CA"/>
        </w:rPr>
        <w:t>afin</w:t>
      </w:r>
      <w:r w:rsidR="00F23175">
        <w:rPr>
          <w:noProof/>
          <w:lang w:val="fr-CA"/>
        </w:rPr>
        <w:t xml:space="preserve"> </w:t>
      </w:r>
      <w:r>
        <w:rPr>
          <w:noProof/>
          <w:lang w:val="fr-CA"/>
        </w:rPr>
        <w:t>d’</w:t>
      </w:r>
      <w:r w:rsidR="00F23175">
        <w:rPr>
          <w:noProof/>
          <w:lang w:val="fr-CA"/>
        </w:rPr>
        <w:t>améliorer le</w:t>
      </w:r>
      <w:r w:rsidR="00693D37">
        <w:rPr>
          <w:noProof/>
          <w:lang w:val="fr-CA"/>
        </w:rPr>
        <w:t>ur</w:t>
      </w:r>
      <w:r w:rsidR="00F23175">
        <w:rPr>
          <w:noProof/>
          <w:lang w:val="fr-CA"/>
        </w:rPr>
        <w:t>s perspectives</w:t>
      </w:r>
      <w:r w:rsidR="002410DF" w:rsidRPr="00B74B72">
        <w:rPr>
          <w:noProof/>
          <w:lang w:val="fr-CA"/>
        </w:rPr>
        <w:t>,</w:t>
      </w:r>
      <w:r w:rsidR="00411E1D" w:rsidRPr="00B74B72">
        <w:rPr>
          <w:noProof/>
          <w:lang w:val="fr-CA"/>
        </w:rPr>
        <w:t xml:space="preserve"> </w:t>
      </w:r>
      <w:r w:rsidR="00693D37">
        <w:rPr>
          <w:noProof/>
          <w:lang w:val="fr-CA"/>
        </w:rPr>
        <w:t>l’accès à des services de soutien communautaire</w:t>
      </w:r>
      <w:r>
        <w:rPr>
          <w:noProof/>
          <w:lang w:val="fr-CA"/>
        </w:rPr>
        <w:t>s qui aideront les Inuits à guérir et à</w:t>
      </w:r>
      <w:r w:rsidR="002410DF" w:rsidRPr="00B74B72">
        <w:rPr>
          <w:noProof/>
          <w:lang w:val="fr-CA"/>
        </w:rPr>
        <w:t xml:space="preserve"> </w:t>
      </w:r>
      <w:r>
        <w:rPr>
          <w:noProof/>
          <w:lang w:val="fr-CA"/>
        </w:rPr>
        <w:t xml:space="preserve">surmonter les séquelles et </w:t>
      </w:r>
      <w:r w:rsidR="00D767E5">
        <w:rPr>
          <w:noProof/>
          <w:lang w:val="fr-CA"/>
        </w:rPr>
        <w:t xml:space="preserve">les </w:t>
      </w:r>
      <w:r>
        <w:rPr>
          <w:noProof/>
          <w:lang w:val="fr-CA"/>
        </w:rPr>
        <w:t>traumatismes du passé</w:t>
      </w:r>
      <w:r w:rsidR="00AD7D5A" w:rsidRPr="00B74B72">
        <w:rPr>
          <w:noProof/>
          <w:lang w:val="fr-CA"/>
        </w:rPr>
        <w:t>.</w:t>
      </w:r>
      <w:r w:rsidR="00832861">
        <w:rPr>
          <w:noProof/>
          <w:lang w:val="fr-CA"/>
        </w:rPr>
        <w:t xml:space="preserve"> </w:t>
      </w:r>
    </w:p>
    <w:p w14:paraId="76118867" w14:textId="135D0824" w:rsidR="00AD7D5A" w:rsidRPr="00B74B72" w:rsidRDefault="00187CF3" w:rsidP="00AD7D5A">
      <w:pPr>
        <w:rPr>
          <w:noProof/>
          <w:lang w:val="fr-CA"/>
        </w:rPr>
      </w:pPr>
      <w:r>
        <w:rPr>
          <w:noProof/>
          <w:lang w:val="fr-CA"/>
        </w:rPr>
        <w:t>Le partenariat conclu entre le gouvernement du Canada et</w:t>
      </w:r>
      <w:r w:rsidR="00AD7D5A" w:rsidRPr="00B74B72">
        <w:rPr>
          <w:noProof/>
          <w:lang w:val="fr-CA"/>
        </w:rPr>
        <w:t xml:space="preserve"> </w:t>
      </w:r>
      <w:r>
        <w:rPr>
          <w:noProof/>
          <w:lang w:val="fr-CA"/>
        </w:rPr>
        <w:t>l’</w:t>
      </w:r>
      <w:r w:rsidR="00AD7D5A" w:rsidRPr="00B74B72">
        <w:rPr>
          <w:noProof/>
          <w:lang w:val="fr-CA"/>
        </w:rPr>
        <w:t xml:space="preserve">Inuit Tapiriit Kanatami (ITK) </w:t>
      </w:r>
      <w:r>
        <w:rPr>
          <w:noProof/>
          <w:lang w:val="fr-CA"/>
        </w:rPr>
        <w:t>en vue d’établir le</w:t>
      </w:r>
      <w:r w:rsidR="00AD7D5A" w:rsidRPr="00B74B72">
        <w:rPr>
          <w:noProof/>
          <w:lang w:val="fr-CA"/>
        </w:rPr>
        <w:t xml:space="preserve"> </w:t>
      </w:r>
      <w:r>
        <w:rPr>
          <w:noProof/>
          <w:lang w:val="fr-CA"/>
        </w:rPr>
        <w:t>Comité de partenariat</w:t>
      </w:r>
      <w:r w:rsidR="00667C53">
        <w:rPr>
          <w:noProof/>
          <w:lang w:val="fr-CA"/>
        </w:rPr>
        <w:t xml:space="preserve"> entre les Inuits et la Couronne</w:t>
      </w:r>
      <w:r w:rsidR="00AD7D5A" w:rsidRPr="00B74B72">
        <w:rPr>
          <w:noProof/>
          <w:lang w:val="fr-CA"/>
        </w:rPr>
        <w:t xml:space="preserve"> </w:t>
      </w:r>
      <w:r w:rsidR="00667C53">
        <w:rPr>
          <w:noProof/>
          <w:lang w:val="fr-CA"/>
        </w:rPr>
        <w:t>n’était</w:t>
      </w:r>
      <w:r w:rsidR="00AD7D5A" w:rsidRPr="00B74B72">
        <w:rPr>
          <w:noProof/>
          <w:lang w:val="fr-CA"/>
        </w:rPr>
        <w:t xml:space="preserve"> </w:t>
      </w:r>
      <w:r w:rsidR="00667C53">
        <w:rPr>
          <w:noProof/>
          <w:lang w:val="fr-CA"/>
        </w:rPr>
        <w:t>pas particulièrement bien connu ou compris</w:t>
      </w:r>
      <w:r w:rsidR="00AD7D5A" w:rsidRPr="00B74B72">
        <w:rPr>
          <w:noProof/>
          <w:lang w:val="fr-CA"/>
        </w:rPr>
        <w:t>.</w:t>
      </w:r>
      <w:r w:rsidR="00832861">
        <w:rPr>
          <w:noProof/>
          <w:lang w:val="fr-CA"/>
        </w:rPr>
        <w:t xml:space="preserve"> </w:t>
      </w:r>
      <w:r w:rsidR="00667C53">
        <w:rPr>
          <w:noProof/>
          <w:lang w:val="fr-CA"/>
        </w:rPr>
        <w:t>Les p</w:t>
      </w:r>
      <w:r w:rsidR="00AD7D5A" w:rsidRPr="00B74B72">
        <w:rPr>
          <w:noProof/>
          <w:lang w:val="fr-CA"/>
        </w:rPr>
        <w:t xml:space="preserve">articipants </w:t>
      </w:r>
      <w:r w:rsidR="00667C53">
        <w:rPr>
          <w:noProof/>
          <w:lang w:val="fr-CA"/>
        </w:rPr>
        <w:t>ont exprimé des doutes quant à l’efficacité de ce type d’accords bilatéraux</w:t>
      </w:r>
      <w:r w:rsidR="00AD7D5A" w:rsidRPr="00B74B72">
        <w:rPr>
          <w:noProof/>
          <w:lang w:val="fr-CA"/>
        </w:rPr>
        <w:t xml:space="preserve">. </w:t>
      </w:r>
      <w:r w:rsidR="00667C53">
        <w:rPr>
          <w:noProof/>
          <w:lang w:val="fr-CA"/>
        </w:rPr>
        <w:t xml:space="preserve">Ils ont demandé quelles améliorations concrètes avaient découlé de ce partenariat et </w:t>
      </w:r>
      <w:r w:rsidR="001147D0">
        <w:rPr>
          <w:noProof/>
          <w:lang w:val="fr-CA"/>
        </w:rPr>
        <w:t>ont réagi avec</w:t>
      </w:r>
      <w:r w:rsidR="00667C53">
        <w:rPr>
          <w:noProof/>
          <w:lang w:val="fr-CA"/>
        </w:rPr>
        <w:t xml:space="preserve"> scepti</w:t>
      </w:r>
      <w:r w:rsidR="001147D0">
        <w:rPr>
          <w:noProof/>
          <w:lang w:val="fr-CA"/>
        </w:rPr>
        <w:t xml:space="preserve">cisme face au projet d’éradiquer la tuberculose, </w:t>
      </w:r>
      <w:r w:rsidR="00D767E5">
        <w:rPr>
          <w:noProof/>
          <w:lang w:val="fr-CA"/>
        </w:rPr>
        <w:t>indiquant que</w:t>
      </w:r>
      <w:r w:rsidR="001147D0">
        <w:rPr>
          <w:noProof/>
          <w:lang w:val="fr-CA"/>
        </w:rPr>
        <w:t xml:space="preserve"> le tau</w:t>
      </w:r>
      <w:r w:rsidR="004D2D85">
        <w:rPr>
          <w:noProof/>
          <w:lang w:val="fr-CA"/>
        </w:rPr>
        <w:t>x de cette maladie</w:t>
      </w:r>
      <w:r w:rsidR="001147D0">
        <w:rPr>
          <w:noProof/>
          <w:lang w:val="fr-CA"/>
        </w:rPr>
        <w:t xml:space="preserve"> </w:t>
      </w:r>
      <w:r w:rsidR="004D2D85">
        <w:rPr>
          <w:noProof/>
          <w:lang w:val="fr-CA"/>
        </w:rPr>
        <w:t>est</w:t>
      </w:r>
      <w:r w:rsidR="00D767E5">
        <w:rPr>
          <w:noProof/>
          <w:lang w:val="fr-CA"/>
        </w:rPr>
        <w:t xml:space="preserve"> </w:t>
      </w:r>
      <w:r w:rsidR="001147D0">
        <w:rPr>
          <w:noProof/>
          <w:lang w:val="fr-CA"/>
        </w:rPr>
        <w:t>en hausse depuis 2017</w:t>
      </w:r>
      <w:r w:rsidR="00AD7D5A" w:rsidRPr="00B74B72">
        <w:rPr>
          <w:noProof/>
          <w:lang w:val="fr-CA"/>
        </w:rPr>
        <w:t>.</w:t>
      </w:r>
    </w:p>
    <w:p w14:paraId="4D0D7886" w14:textId="65CDDF15" w:rsidR="00AD7D5A" w:rsidRPr="00B74B72" w:rsidRDefault="001147D0" w:rsidP="00AD7D5A">
      <w:pPr>
        <w:rPr>
          <w:noProof/>
          <w:lang w:val="fr-CA"/>
        </w:rPr>
      </w:pPr>
      <w:r>
        <w:rPr>
          <w:noProof/>
          <w:lang w:val="fr-CA"/>
        </w:rPr>
        <w:t>Le</w:t>
      </w:r>
      <w:r w:rsidR="00172AED">
        <w:rPr>
          <w:noProof/>
          <w:lang w:val="fr-CA"/>
        </w:rPr>
        <w:t>s participants ont</w:t>
      </w:r>
      <w:r>
        <w:rPr>
          <w:noProof/>
          <w:lang w:val="fr-CA"/>
        </w:rPr>
        <w:t xml:space="preserve"> </w:t>
      </w:r>
      <w:r w:rsidR="00D767E5">
        <w:rPr>
          <w:noProof/>
          <w:lang w:val="fr-CA"/>
        </w:rPr>
        <w:t xml:space="preserve">aussi </w:t>
      </w:r>
      <w:r w:rsidR="00172AED">
        <w:rPr>
          <w:noProof/>
          <w:lang w:val="fr-CA"/>
        </w:rPr>
        <w:t xml:space="preserve">déploré le </w:t>
      </w:r>
      <w:r>
        <w:rPr>
          <w:noProof/>
          <w:lang w:val="fr-CA"/>
        </w:rPr>
        <w:t xml:space="preserve">manque </w:t>
      </w:r>
      <w:r w:rsidR="00172AED">
        <w:rPr>
          <w:noProof/>
          <w:lang w:val="fr-CA"/>
        </w:rPr>
        <w:t xml:space="preserve">apparent </w:t>
      </w:r>
      <w:r>
        <w:rPr>
          <w:noProof/>
          <w:lang w:val="fr-CA"/>
        </w:rPr>
        <w:t>de consultation et de dialogue avec les aînés inuits et l</w:t>
      </w:r>
      <w:r w:rsidR="00172AED">
        <w:rPr>
          <w:noProof/>
          <w:lang w:val="fr-CA"/>
        </w:rPr>
        <w:t>’ensemble de la</w:t>
      </w:r>
      <w:r>
        <w:rPr>
          <w:noProof/>
          <w:lang w:val="fr-CA"/>
        </w:rPr>
        <w:t xml:space="preserve"> communauté</w:t>
      </w:r>
      <w:r w:rsidR="00AD7D5A" w:rsidRPr="00B74B72">
        <w:rPr>
          <w:noProof/>
          <w:lang w:val="fr-CA"/>
        </w:rPr>
        <w:t xml:space="preserve"> </w:t>
      </w:r>
      <w:r w:rsidR="00172AED">
        <w:rPr>
          <w:noProof/>
          <w:lang w:val="fr-CA"/>
        </w:rPr>
        <w:t>lors de la création</w:t>
      </w:r>
      <w:r w:rsidR="00AD7D5A" w:rsidRPr="00B74B72">
        <w:rPr>
          <w:noProof/>
          <w:lang w:val="fr-CA"/>
        </w:rPr>
        <w:t xml:space="preserve"> </w:t>
      </w:r>
      <w:r w:rsidR="00172AED">
        <w:rPr>
          <w:noProof/>
          <w:lang w:val="fr-CA"/>
        </w:rPr>
        <w:t>de ce partenariat avec l’</w:t>
      </w:r>
      <w:r w:rsidR="00AD7D5A" w:rsidRPr="00B74B72">
        <w:rPr>
          <w:noProof/>
          <w:lang w:val="fr-CA"/>
        </w:rPr>
        <w:t>ITK.</w:t>
      </w:r>
    </w:p>
    <w:p w14:paraId="57F074D9" w14:textId="77777777" w:rsidR="006E1566" w:rsidRPr="00B74B72" w:rsidRDefault="006E1566" w:rsidP="005F57B6">
      <w:pPr>
        <w:rPr>
          <w:lang w:val="fr-CA"/>
        </w:rPr>
      </w:pPr>
    </w:p>
    <w:p w14:paraId="2DC25DE1" w14:textId="77777777" w:rsidR="00A77E74" w:rsidRPr="0047030D" w:rsidRDefault="00A77E74" w:rsidP="00A77E74">
      <w:pPr>
        <w:pBdr>
          <w:top w:val="single" w:sz="4" w:space="1" w:color="auto"/>
          <w:bottom w:val="single" w:sz="4" w:space="1" w:color="auto"/>
        </w:pBdr>
        <w:spacing w:before="120" w:after="120" w:line="264" w:lineRule="auto"/>
        <w:rPr>
          <w:rFonts w:eastAsia="Times New Roman" w:cs="Segoe UI"/>
          <w:b/>
          <w:kern w:val="18"/>
          <w:lang w:val="fr-CA"/>
        </w:rPr>
      </w:pPr>
      <w:r w:rsidRPr="0047030D">
        <w:rPr>
          <w:rFonts w:eastAsia="Times New Roman" w:cs="Segoe UI"/>
          <w:b/>
          <w:kern w:val="18"/>
          <w:lang w:val="fr-CA"/>
        </w:rPr>
        <w:t xml:space="preserve">RENSEIGNEMENTS SUPPLÉMENTAIRES </w:t>
      </w:r>
    </w:p>
    <w:p w14:paraId="472867E8" w14:textId="75A90EC4" w:rsidR="00F52DEA" w:rsidRPr="00B74B72" w:rsidRDefault="00A77E74" w:rsidP="0037592F">
      <w:pPr>
        <w:pBdr>
          <w:top w:val="single" w:sz="4" w:space="1" w:color="auto"/>
          <w:bottom w:val="single" w:sz="4" w:space="1" w:color="auto"/>
        </w:pBdr>
        <w:spacing w:before="120" w:after="120" w:line="264" w:lineRule="auto"/>
        <w:rPr>
          <w:noProof/>
          <w:lang w:val="fr-CA"/>
        </w:rPr>
      </w:pPr>
      <w:r w:rsidRPr="0047030D">
        <w:rPr>
          <w:noProof/>
          <w:lang w:val="fr-CA"/>
        </w:rPr>
        <w:t>The Strategic Counsel</w:t>
      </w:r>
      <w:r w:rsidRPr="0047030D">
        <w:rPr>
          <w:noProof/>
          <w:lang w:val="fr-CA"/>
        </w:rPr>
        <w:br/>
        <w:t>Numéro du contrat : 35035-182346/001/CY</w:t>
      </w:r>
      <w:r w:rsidRPr="0047030D">
        <w:rPr>
          <w:noProof/>
          <w:lang w:val="fr-CA"/>
        </w:rPr>
        <w:br/>
        <w:t>Date de l’octroi du contrat : 27 juin 2019</w:t>
      </w:r>
      <w:r w:rsidRPr="0047030D">
        <w:rPr>
          <w:noProof/>
          <w:lang w:val="fr-CA"/>
        </w:rPr>
        <w:br/>
        <w:t>Valeur du contrat :</w:t>
      </w:r>
      <w:r w:rsidRPr="0047030D">
        <w:rPr>
          <w:lang w:val="fr-CA"/>
        </w:rPr>
        <w:t xml:space="preserve"> </w:t>
      </w:r>
      <w:r w:rsidRPr="0047030D">
        <w:rPr>
          <w:noProof/>
          <w:lang w:val="fr-CA"/>
        </w:rPr>
        <w:t>808</w:t>
      </w:r>
      <w:r w:rsidR="001F684A">
        <w:rPr>
          <w:noProof/>
          <w:lang w:val="fr-CA"/>
        </w:rPr>
        <w:t> </w:t>
      </w:r>
      <w:r w:rsidRPr="0047030D">
        <w:rPr>
          <w:noProof/>
          <w:lang w:val="fr-CA"/>
        </w:rPr>
        <w:t>684,50 $</w:t>
      </w:r>
    </w:p>
    <w:p w14:paraId="60F8AF35" w14:textId="68B2D0C6" w:rsidR="00947DD4" w:rsidRDefault="00947DD4" w:rsidP="00FA5D12">
      <w:pPr>
        <w:spacing w:before="4000" w:after="240"/>
        <w:rPr>
          <w:lang w:val="fr-CA"/>
        </w:rPr>
      </w:pPr>
    </w:p>
    <w:sectPr w:rsidR="00947DD4" w:rsidSect="009960B4">
      <w:headerReference w:type="default" r:id="rId12"/>
      <w:footerReference w:type="default" r:id="rId13"/>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62C5" w14:textId="77777777" w:rsidR="00426AE2" w:rsidRDefault="00426AE2" w:rsidP="007C351A">
      <w:pPr>
        <w:spacing w:after="0"/>
      </w:pPr>
      <w:r>
        <w:separator/>
      </w:r>
    </w:p>
  </w:endnote>
  <w:endnote w:type="continuationSeparator" w:id="0">
    <w:p w14:paraId="3489307C" w14:textId="77777777" w:rsidR="00426AE2" w:rsidRDefault="00426AE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40626D91" w:rsidR="00175097" w:rsidRDefault="00175097"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E0546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7033" w14:textId="77777777" w:rsidR="00426AE2" w:rsidRDefault="00426AE2" w:rsidP="007C351A">
      <w:pPr>
        <w:spacing w:after="0"/>
      </w:pPr>
      <w:r>
        <w:separator/>
      </w:r>
    </w:p>
  </w:footnote>
  <w:footnote w:type="continuationSeparator" w:id="0">
    <w:p w14:paraId="4F3DBCDC" w14:textId="77777777" w:rsidR="00426AE2" w:rsidRDefault="00426AE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175097" w:rsidRDefault="00175097">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268B7992" w:rsidR="00175097" w:rsidRDefault="00175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175097" w:rsidRDefault="00175097">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EF"/>
    <w:multiLevelType w:val="hybridMultilevel"/>
    <w:tmpl w:val="E1F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92A"/>
    <w:multiLevelType w:val="hybridMultilevel"/>
    <w:tmpl w:val="6DB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E7FBF"/>
    <w:multiLevelType w:val="hybridMultilevel"/>
    <w:tmpl w:val="4A9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B12D9"/>
    <w:multiLevelType w:val="hybridMultilevel"/>
    <w:tmpl w:val="6CA43A1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81ECE"/>
    <w:multiLevelType w:val="hybridMultilevel"/>
    <w:tmpl w:val="E20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6F1"/>
    <w:multiLevelType w:val="hybridMultilevel"/>
    <w:tmpl w:val="A54E4708"/>
    <w:lvl w:ilvl="0" w:tplc="7AAA62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044B48"/>
    <w:multiLevelType w:val="hybridMultilevel"/>
    <w:tmpl w:val="8F2C2698"/>
    <w:lvl w:ilvl="0" w:tplc="742654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B3576"/>
    <w:multiLevelType w:val="hybridMultilevel"/>
    <w:tmpl w:val="61F0B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3B1286"/>
    <w:multiLevelType w:val="hybridMultilevel"/>
    <w:tmpl w:val="B32C52D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447A5"/>
    <w:multiLevelType w:val="hybridMultilevel"/>
    <w:tmpl w:val="9B324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551990"/>
    <w:multiLevelType w:val="hybridMultilevel"/>
    <w:tmpl w:val="A69EA7EC"/>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3312F2"/>
    <w:multiLevelType w:val="hybridMultilevel"/>
    <w:tmpl w:val="12C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B34DA"/>
    <w:multiLevelType w:val="hybridMultilevel"/>
    <w:tmpl w:val="A7E0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0E19C7"/>
    <w:multiLevelType w:val="hybridMultilevel"/>
    <w:tmpl w:val="4F0A860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F3C15"/>
    <w:multiLevelType w:val="hybridMultilevel"/>
    <w:tmpl w:val="69A412BA"/>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12E3E"/>
    <w:multiLevelType w:val="hybridMultilevel"/>
    <w:tmpl w:val="7ADE34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1AC3429"/>
    <w:multiLevelType w:val="hybridMultilevel"/>
    <w:tmpl w:val="8C562DA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D6396"/>
    <w:multiLevelType w:val="hybridMultilevel"/>
    <w:tmpl w:val="68C47E3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3B3186"/>
    <w:multiLevelType w:val="hybridMultilevel"/>
    <w:tmpl w:val="5B40428C"/>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391"/>
    <w:multiLevelType w:val="hybridMultilevel"/>
    <w:tmpl w:val="DF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681112"/>
    <w:multiLevelType w:val="hybridMultilevel"/>
    <w:tmpl w:val="294EF73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2962"/>
    <w:multiLevelType w:val="hybridMultilevel"/>
    <w:tmpl w:val="8FC85E7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274D8A"/>
    <w:multiLevelType w:val="hybridMultilevel"/>
    <w:tmpl w:val="B31256E8"/>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A5DDA"/>
    <w:multiLevelType w:val="hybridMultilevel"/>
    <w:tmpl w:val="574EDBF6"/>
    <w:lvl w:ilvl="0" w:tplc="9394094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F10006"/>
    <w:multiLevelType w:val="hybridMultilevel"/>
    <w:tmpl w:val="201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84B8C"/>
    <w:multiLevelType w:val="hybridMultilevel"/>
    <w:tmpl w:val="EF0C59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615536B2"/>
    <w:multiLevelType w:val="hybridMultilevel"/>
    <w:tmpl w:val="ED2E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2B745D5"/>
    <w:multiLevelType w:val="hybridMultilevel"/>
    <w:tmpl w:val="9D7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D72D7"/>
    <w:multiLevelType w:val="hybridMultilevel"/>
    <w:tmpl w:val="D1ECF8C0"/>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C4CC3"/>
    <w:multiLevelType w:val="hybridMultilevel"/>
    <w:tmpl w:val="5486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157A18"/>
    <w:multiLevelType w:val="hybridMultilevel"/>
    <w:tmpl w:val="6DF61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EEE76C1"/>
    <w:multiLevelType w:val="hybridMultilevel"/>
    <w:tmpl w:val="497ED1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1CB5B3A"/>
    <w:multiLevelType w:val="hybridMultilevel"/>
    <w:tmpl w:val="0E6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A75317"/>
    <w:multiLevelType w:val="hybridMultilevel"/>
    <w:tmpl w:val="C83C42C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8324A"/>
    <w:multiLevelType w:val="hybridMultilevel"/>
    <w:tmpl w:val="16145CB4"/>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D810B75"/>
    <w:multiLevelType w:val="hybridMultilevel"/>
    <w:tmpl w:val="53D4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3"/>
  </w:num>
  <w:num w:numId="4">
    <w:abstractNumId w:val="43"/>
  </w:num>
  <w:num w:numId="5">
    <w:abstractNumId w:val="3"/>
  </w:num>
  <w:num w:numId="6">
    <w:abstractNumId w:val="22"/>
  </w:num>
  <w:num w:numId="7">
    <w:abstractNumId w:val="45"/>
  </w:num>
  <w:num w:numId="8">
    <w:abstractNumId w:val="8"/>
  </w:num>
  <w:num w:numId="9">
    <w:abstractNumId w:val="18"/>
  </w:num>
  <w:num w:numId="10">
    <w:abstractNumId w:val="25"/>
  </w:num>
  <w:num w:numId="11">
    <w:abstractNumId w:val="31"/>
  </w:num>
  <w:num w:numId="12">
    <w:abstractNumId w:val="32"/>
  </w:num>
  <w:num w:numId="13">
    <w:abstractNumId w:val="24"/>
  </w:num>
  <w:num w:numId="14">
    <w:abstractNumId w:val="47"/>
  </w:num>
  <w:num w:numId="15">
    <w:abstractNumId w:val="34"/>
  </w:num>
  <w:num w:numId="16">
    <w:abstractNumId w:val="14"/>
  </w:num>
  <w:num w:numId="17">
    <w:abstractNumId w:val="36"/>
  </w:num>
  <w:num w:numId="18">
    <w:abstractNumId w:val="42"/>
  </w:num>
  <w:num w:numId="19">
    <w:abstractNumId w:val="7"/>
  </w:num>
  <w:num w:numId="20">
    <w:abstractNumId w:val="38"/>
  </w:num>
  <w:num w:numId="21">
    <w:abstractNumId w:val="10"/>
  </w:num>
  <w:num w:numId="22">
    <w:abstractNumId w:val="41"/>
  </w:num>
  <w:num w:numId="23">
    <w:abstractNumId w:val="17"/>
  </w:num>
  <w:num w:numId="24">
    <w:abstractNumId w:val="15"/>
  </w:num>
  <w:num w:numId="25">
    <w:abstractNumId w:val="30"/>
  </w:num>
  <w:num w:numId="26">
    <w:abstractNumId w:val="13"/>
  </w:num>
  <w:num w:numId="27">
    <w:abstractNumId w:val="12"/>
  </w:num>
  <w:num w:numId="28">
    <w:abstractNumId w:val="19"/>
  </w:num>
  <w:num w:numId="29">
    <w:abstractNumId w:val="35"/>
  </w:num>
  <w:num w:numId="30">
    <w:abstractNumId w:val="39"/>
  </w:num>
  <w:num w:numId="31">
    <w:abstractNumId w:val="11"/>
  </w:num>
  <w:num w:numId="32">
    <w:abstractNumId w:val="27"/>
  </w:num>
  <w:num w:numId="33">
    <w:abstractNumId w:val="6"/>
  </w:num>
  <w:num w:numId="34">
    <w:abstractNumId w:val="1"/>
  </w:num>
  <w:num w:numId="35">
    <w:abstractNumId w:val="0"/>
  </w:num>
  <w:num w:numId="36">
    <w:abstractNumId w:val="21"/>
  </w:num>
  <w:num w:numId="37">
    <w:abstractNumId w:val="23"/>
  </w:num>
  <w:num w:numId="38">
    <w:abstractNumId w:val="44"/>
  </w:num>
  <w:num w:numId="39">
    <w:abstractNumId w:val="29"/>
  </w:num>
  <w:num w:numId="40">
    <w:abstractNumId w:val="26"/>
  </w:num>
  <w:num w:numId="41">
    <w:abstractNumId w:val="20"/>
  </w:num>
  <w:num w:numId="42">
    <w:abstractNumId w:val="37"/>
  </w:num>
  <w:num w:numId="43">
    <w:abstractNumId w:val="4"/>
  </w:num>
  <w:num w:numId="44">
    <w:abstractNumId w:val="16"/>
  </w:num>
  <w:num w:numId="45">
    <w:abstractNumId w:val="9"/>
  </w:num>
  <w:num w:numId="46">
    <w:abstractNumId w:val="5"/>
  </w:num>
  <w:num w:numId="47">
    <w:abstractNumId w:val="2"/>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56B"/>
    <w:rsid w:val="00003412"/>
    <w:rsid w:val="00004C2E"/>
    <w:rsid w:val="00005EBF"/>
    <w:rsid w:val="00011321"/>
    <w:rsid w:val="000130F9"/>
    <w:rsid w:val="00013E1E"/>
    <w:rsid w:val="00015F3D"/>
    <w:rsid w:val="00021188"/>
    <w:rsid w:val="00021385"/>
    <w:rsid w:val="00021D43"/>
    <w:rsid w:val="000224CF"/>
    <w:rsid w:val="00023790"/>
    <w:rsid w:val="00025D2F"/>
    <w:rsid w:val="00025E34"/>
    <w:rsid w:val="00026CAD"/>
    <w:rsid w:val="00027DC1"/>
    <w:rsid w:val="00030C65"/>
    <w:rsid w:val="0003437A"/>
    <w:rsid w:val="000359B8"/>
    <w:rsid w:val="00037373"/>
    <w:rsid w:val="00040ECE"/>
    <w:rsid w:val="000458E8"/>
    <w:rsid w:val="000467D8"/>
    <w:rsid w:val="00052155"/>
    <w:rsid w:val="000524B5"/>
    <w:rsid w:val="00053CF2"/>
    <w:rsid w:val="00053F76"/>
    <w:rsid w:val="0005422F"/>
    <w:rsid w:val="00055234"/>
    <w:rsid w:val="0005554D"/>
    <w:rsid w:val="0005564F"/>
    <w:rsid w:val="0005748C"/>
    <w:rsid w:val="00057FB3"/>
    <w:rsid w:val="000600D1"/>
    <w:rsid w:val="00060D2E"/>
    <w:rsid w:val="0006139C"/>
    <w:rsid w:val="00064981"/>
    <w:rsid w:val="00073989"/>
    <w:rsid w:val="00075612"/>
    <w:rsid w:val="0007588E"/>
    <w:rsid w:val="000775A6"/>
    <w:rsid w:val="0008550E"/>
    <w:rsid w:val="00085F39"/>
    <w:rsid w:val="00087A38"/>
    <w:rsid w:val="00092506"/>
    <w:rsid w:val="0009312D"/>
    <w:rsid w:val="000A0805"/>
    <w:rsid w:val="000A132E"/>
    <w:rsid w:val="000A1AA2"/>
    <w:rsid w:val="000A436C"/>
    <w:rsid w:val="000A4E03"/>
    <w:rsid w:val="000A4F59"/>
    <w:rsid w:val="000A50D4"/>
    <w:rsid w:val="000B25B4"/>
    <w:rsid w:val="000B2DDF"/>
    <w:rsid w:val="000B367F"/>
    <w:rsid w:val="000B3F85"/>
    <w:rsid w:val="000C0156"/>
    <w:rsid w:val="000C0636"/>
    <w:rsid w:val="000C16A8"/>
    <w:rsid w:val="000C530C"/>
    <w:rsid w:val="000C73A8"/>
    <w:rsid w:val="000D0618"/>
    <w:rsid w:val="000D159D"/>
    <w:rsid w:val="000D660A"/>
    <w:rsid w:val="000E1245"/>
    <w:rsid w:val="000E27FF"/>
    <w:rsid w:val="000F2209"/>
    <w:rsid w:val="000F2D94"/>
    <w:rsid w:val="000F7D2A"/>
    <w:rsid w:val="0010052D"/>
    <w:rsid w:val="00101A33"/>
    <w:rsid w:val="00102FF2"/>
    <w:rsid w:val="001037C2"/>
    <w:rsid w:val="00103BDD"/>
    <w:rsid w:val="00104B88"/>
    <w:rsid w:val="0010783F"/>
    <w:rsid w:val="0011229B"/>
    <w:rsid w:val="0011447B"/>
    <w:rsid w:val="001146EF"/>
    <w:rsid w:val="001147D0"/>
    <w:rsid w:val="001158C2"/>
    <w:rsid w:val="00116B4F"/>
    <w:rsid w:val="00121E4A"/>
    <w:rsid w:val="00124BAA"/>
    <w:rsid w:val="00131F1B"/>
    <w:rsid w:val="001322EE"/>
    <w:rsid w:val="00141E87"/>
    <w:rsid w:val="00147866"/>
    <w:rsid w:val="001479B8"/>
    <w:rsid w:val="00152191"/>
    <w:rsid w:val="00152CC0"/>
    <w:rsid w:val="00152CE5"/>
    <w:rsid w:val="00155F95"/>
    <w:rsid w:val="00157A82"/>
    <w:rsid w:val="00161113"/>
    <w:rsid w:val="001619F4"/>
    <w:rsid w:val="00163AC2"/>
    <w:rsid w:val="001657E2"/>
    <w:rsid w:val="00166F57"/>
    <w:rsid w:val="00167E3F"/>
    <w:rsid w:val="001715ED"/>
    <w:rsid w:val="00172AED"/>
    <w:rsid w:val="00174838"/>
    <w:rsid w:val="00175097"/>
    <w:rsid w:val="00176502"/>
    <w:rsid w:val="00180CB8"/>
    <w:rsid w:val="00180F85"/>
    <w:rsid w:val="001828DE"/>
    <w:rsid w:val="0018316A"/>
    <w:rsid w:val="00183B2E"/>
    <w:rsid w:val="00185BDE"/>
    <w:rsid w:val="00187CF3"/>
    <w:rsid w:val="001909B6"/>
    <w:rsid w:val="00191A25"/>
    <w:rsid w:val="00191AF0"/>
    <w:rsid w:val="001926FE"/>
    <w:rsid w:val="001929AA"/>
    <w:rsid w:val="00193E53"/>
    <w:rsid w:val="001956F4"/>
    <w:rsid w:val="001975A6"/>
    <w:rsid w:val="001978C4"/>
    <w:rsid w:val="001A17DB"/>
    <w:rsid w:val="001A7970"/>
    <w:rsid w:val="001B1CFC"/>
    <w:rsid w:val="001B273D"/>
    <w:rsid w:val="001B5592"/>
    <w:rsid w:val="001B6F44"/>
    <w:rsid w:val="001C246E"/>
    <w:rsid w:val="001C2E42"/>
    <w:rsid w:val="001C3D59"/>
    <w:rsid w:val="001C7B88"/>
    <w:rsid w:val="001D0C4A"/>
    <w:rsid w:val="001D2A7A"/>
    <w:rsid w:val="001D36C2"/>
    <w:rsid w:val="001D38AA"/>
    <w:rsid w:val="001D4FBF"/>
    <w:rsid w:val="001D5182"/>
    <w:rsid w:val="001E2C23"/>
    <w:rsid w:val="001E2DAB"/>
    <w:rsid w:val="001E41C6"/>
    <w:rsid w:val="001E62B1"/>
    <w:rsid w:val="001E6B02"/>
    <w:rsid w:val="001F1615"/>
    <w:rsid w:val="001F5633"/>
    <w:rsid w:val="001F61B9"/>
    <w:rsid w:val="001F684A"/>
    <w:rsid w:val="00200185"/>
    <w:rsid w:val="00200E3B"/>
    <w:rsid w:val="0020609E"/>
    <w:rsid w:val="002119DD"/>
    <w:rsid w:val="00217893"/>
    <w:rsid w:val="00220592"/>
    <w:rsid w:val="00224594"/>
    <w:rsid w:val="002258F3"/>
    <w:rsid w:val="0022709F"/>
    <w:rsid w:val="00232B61"/>
    <w:rsid w:val="00236505"/>
    <w:rsid w:val="00237279"/>
    <w:rsid w:val="002410DF"/>
    <w:rsid w:val="00242453"/>
    <w:rsid w:val="00243168"/>
    <w:rsid w:val="002448D2"/>
    <w:rsid w:val="00247EC3"/>
    <w:rsid w:val="002506AD"/>
    <w:rsid w:val="00251D94"/>
    <w:rsid w:val="00253BE0"/>
    <w:rsid w:val="0025629E"/>
    <w:rsid w:val="002578CF"/>
    <w:rsid w:val="00261C0D"/>
    <w:rsid w:val="00263477"/>
    <w:rsid w:val="0026384B"/>
    <w:rsid w:val="002664BA"/>
    <w:rsid w:val="0026687B"/>
    <w:rsid w:val="00266ADB"/>
    <w:rsid w:val="0027346A"/>
    <w:rsid w:val="002857E4"/>
    <w:rsid w:val="00285D8D"/>
    <w:rsid w:val="002925A3"/>
    <w:rsid w:val="00295B46"/>
    <w:rsid w:val="0029743B"/>
    <w:rsid w:val="002A0604"/>
    <w:rsid w:val="002A1901"/>
    <w:rsid w:val="002B3DA4"/>
    <w:rsid w:val="002B404F"/>
    <w:rsid w:val="002C00F9"/>
    <w:rsid w:val="002C08B6"/>
    <w:rsid w:val="002C1A1F"/>
    <w:rsid w:val="002C465D"/>
    <w:rsid w:val="002C5047"/>
    <w:rsid w:val="002C7FCF"/>
    <w:rsid w:val="002D0424"/>
    <w:rsid w:val="002D08BC"/>
    <w:rsid w:val="002E0576"/>
    <w:rsid w:val="002E2747"/>
    <w:rsid w:val="002E4ADA"/>
    <w:rsid w:val="002E55DF"/>
    <w:rsid w:val="002E5D83"/>
    <w:rsid w:val="002E67A4"/>
    <w:rsid w:val="002F0F0C"/>
    <w:rsid w:val="002F3973"/>
    <w:rsid w:val="002F518D"/>
    <w:rsid w:val="002F541C"/>
    <w:rsid w:val="002F67EE"/>
    <w:rsid w:val="002F7AB9"/>
    <w:rsid w:val="00301F5A"/>
    <w:rsid w:val="00304B5D"/>
    <w:rsid w:val="0031382E"/>
    <w:rsid w:val="00313A4D"/>
    <w:rsid w:val="00321F11"/>
    <w:rsid w:val="003227C9"/>
    <w:rsid w:val="00326C50"/>
    <w:rsid w:val="003279AE"/>
    <w:rsid w:val="003304D7"/>
    <w:rsid w:val="00331796"/>
    <w:rsid w:val="0033292B"/>
    <w:rsid w:val="0033367F"/>
    <w:rsid w:val="0033646D"/>
    <w:rsid w:val="00336869"/>
    <w:rsid w:val="00336EBF"/>
    <w:rsid w:val="00337411"/>
    <w:rsid w:val="0034233C"/>
    <w:rsid w:val="00342AFD"/>
    <w:rsid w:val="00346381"/>
    <w:rsid w:val="00346B20"/>
    <w:rsid w:val="00346F96"/>
    <w:rsid w:val="003473FA"/>
    <w:rsid w:val="00350694"/>
    <w:rsid w:val="00353373"/>
    <w:rsid w:val="003535F9"/>
    <w:rsid w:val="0035719A"/>
    <w:rsid w:val="00364919"/>
    <w:rsid w:val="00367BF2"/>
    <w:rsid w:val="003722D3"/>
    <w:rsid w:val="003729DC"/>
    <w:rsid w:val="0037589D"/>
    <w:rsid w:val="0037592F"/>
    <w:rsid w:val="0037673A"/>
    <w:rsid w:val="00376DF6"/>
    <w:rsid w:val="003812D9"/>
    <w:rsid w:val="00382C2F"/>
    <w:rsid w:val="00383681"/>
    <w:rsid w:val="003919F8"/>
    <w:rsid w:val="00392A5C"/>
    <w:rsid w:val="00394D1C"/>
    <w:rsid w:val="00395FE6"/>
    <w:rsid w:val="003962D9"/>
    <w:rsid w:val="00397D11"/>
    <w:rsid w:val="003A29AA"/>
    <w:rsid w:val="003A4A48"/>
    <w:rsid w:val="003A5BDA"/>
    <w:rsid w:val="003A62DB"/>
    <w:rsid w:val="003B04E8"/>
    <w:rsid w:val="003B2AF4"/>
    <w:rsid w:val="003B5674"/>
    <w:rsid w:val="003B5E22"/>
    <w:rsid w:val="003B71E5"/>
    <w:rsid w:val="003C5540"/>
    <w:rsid w:val="003D3E88"/>
    <w:rsid w:val="003E011E"/>
    <w:rsid w:val="003E2788"/>
    <w:rsid w:val="003E7A30"/>
    <w:rsid w:val="003E7D4B"/>
    <w:rsid w:val="003F197A"/>
    <w:rsid w:val="003F44AF"/>
    <w:rsid w:val="003F5330"/>
    <w:rsid w:val="00402E2A"/>
    <w:rsid w:val="0040787C"/>
    <w:rsid w:val="00407F83"/>
    <w:rsid w:val="00411695"/>
    <w:rsid w:val="00411E1D"/>
    <w:rsid w:val="0042240D"/>
    <w:rsid w:val="00423BC3"/>
    <w:rsid w:val="00426760"/>
    <w:rsid w:val="00426AE2"/>
    <w:rsid w:val="004277AC"/>
    <w:rsid w:val="00437B4B"/>
    <w:rsid w:val="00440FE1"/>
    <w:rsid w:val="00443404"/>
    <w:rsid w:val="004448DA"/>
    <w:rsid w:val="0044563B"/>
    <w:rsid w:val="004475A5"/>
    <w:rsid w:val="00452FCB"/>
    <w:rsid w:val="0045578E"/>
    <w:rsid w:val="00455F8E"/>
    <w:rsid w:val="004561C3"/>
    <w:rsid w:val="00461D8D"/>
    <w:rsid w:val="00464C47"/>
    <w:rsid w:val="004713E6"/>
    <w:rsid w:val="0047230F"/>
    <w:rsid w:val="0047304D"/>
    <w:rsid w:val="00481389"/>
    <w:rsid w:val="004828A6"/>
    <w:rsid w:val="00483B5E"/>
    <w:rsid w:val="00485A1B"/>
    <w:rsid w:val="00486A8E"/>
    <w:rsid w:val="00486E34"/>
    <w:rsid w:val="004902F2"/>
    <w:rsid w:val="004903D0"/>
    <w:rsid w:val="0049301D"/>
    <w:rsid w:val="00493B51"/>
    <w:rsid w:val="00493CA4"/>
    <w:rsid w:val="00493E42"/>
    <w:rsid w:val="004944AB"/>
    <w:rsid w:val="00495722"/>
    <w:rsid w:val="00497AFE"/>
    <w:rsid w:val="004A00B5"/>
    <w:rsid w:val="004A4251"/>
    <w:rsid w:val="004B4127"/>
    <w:rsid w:val="004C2F83"/>
    <w:rsid w:val="004C7119"/>
    <w:rsid w:val="004D0110"/>
    <w:rsid w:val="004D2D85"/>
    <w:rsid w:val="004D4270"/>
    <w:rsid w:val="004D6EE4"/>
    <w:rsid w:val="004E0E6E"/>
    <w:rsid w:val="004E2308"/>
    <w:rsid w:val="004E673A"/>
    <w:rsid w:val="004E6CFB"/>
    <w:rsid w:val="004E720E"/>
    <w:rsid w:val="004F00F2"/>
    <w:rsid w:val="004F029D"/>
    <w:rsid w:val="004F1158"/>
    <w:rsid w:val="005025AB"/>
    <w:rsid w:val="005040D4"/>
    <w:rsid w:val="00506355"/>
    <w:rsid w:val="00510802"/>
    <w:rsid w:val="005110DF"/>
    <w:rsid w:val="0051265D"/>
    <w:rsid w:val="00520862"/>
    <w:rsid w:val="00522B26"/>
    <w:rsid w:val="00525800"/>
    <w:rsid w:val="00525F80"/>
    <w:rsid w:val="00526010"/>
    <w:rsid w:val="00526AFD"/>
    <w:rsid w:val="00530141"/>
    <w:rsid w:val="0053161A"/>
    <w:rsid w:val="005328DA"/>
    <w:rsid w:val="005351D4"/>
    <w:rsid w:val="005353E7"/>
    <w:rsid w:val="00535F1E"/>
    <w:rsid w:val="00540FFB"/>
    <w:rsid w:val="00541A6C"/>
    <w:rsid w:val="0054267B"/>
    <w:rsid w:val="00542946"/>
    <w:rsid w:val="00543240"/>
    <w:rsid w:val="00543AFE"/>
    <w:rsid w:val="00544401"/>
    <w:rsid w:val="00544640"/>
    <w:rsid w:val="0054683D"/>
    <w:rsid w:val="00551FFB"/>
    <w:rsid w:val="005524AF"/>
    <w:rsid w:val="00552EAB"/>
    <w:rsid w:val="005556B2"/>
    <w:rsid w:val="005566B2"/>
    <w:rsid w:val="00561344"/>
    <w:rsid w:val="00565725"/>
    <w:rsid w:val="00566AD8"/>
    <w:rsid w:val="0057101D"/>
    <w:rsid w:val="00571A7C"/>
    <w:rsid w:val="0057239E"/>
    <w:rsid w:val="005734D3"/>
    <w:rsid w:val="0057458D"/>
    <w:rsid w:val="005760AF"/>
    <w:rsid w:val="00581252"/>
    <w:rsid w:val="005834C1"/>
    <w:rsid w:val="00586660"/>
    <w:rsid w:val="00590D84"/>
    <w:rsid w:val="005944D7"/>
    <w:rsid w:val="005946F0"/>
    <w:rsid w:val="00594F3A"/>
    <w:rsid w:val="005950F4"/>
    <w:rsid w:val="00596088"/>
    <w:rsid w:val="00596340"/>
    <w:rsid w:val="00596F11"/>
    <w:rsid w:val="00597F1C"/>
    <w:rsid w:val="005A7B41"/>
    <w:rsid w:val="005A7E38"/>
    <w:rsid w:val="005B0476"/>
    <w:rsid w:val="005B149F"/>
    <w:rsid w:val="005B16DA"/>
    <w:rsid w:val="005B21D0"/>
    <w:rsid w:val="005B22C0"/>
    <w:rsid w:val="005B3662"/>
    <w:rsid w:val="005B3A16"/>
    <w:rsid w:val="005B47F8"/>
    <w:rsid w:val="005B63F8"/>
    <w:rsid w:val="005C14D4"/>
    <w:rsid w:val="005C3AC0"/>
    <w:rsid w:val="005D0AE5"/>
    <w:rsid w:val="005D3CCD"/>
    <w:rsid w:val="005D4FB9"/>
    <w:rsid w:val="005F078F"/>
    <w:rsid w:val="005F1AFE"/>
    <w:rsid w:val="005F39C7"/>
    <w:rsid w:val="005F57B6"/>
    <w:rsid w:val="005F70A6"/>
    <w:rsid w:val="005F7744"/>
    <w:rsid w:val="005F7A54"/>
    <w:rsid w:val="00600007"/>
    <w:rsid w:val="00602D05"/>
    <w:rsid w:val="00612A76"/>
    <w:rsid w:val="00612FFF"/>
    <w:rsid w:val="0061315A"/>
    <w:rsid w:val="00613B4D"/>
    <w:rsid w:val="00624197"/>
    <w:rsid w:val="0063373C"/>
    <w:rsid w:val="0064128C"/>
    <w:rsid w:val="00652528"/>
    <w:rsid w:val="00654B8F"/>
    <w:rsid w:val="0065758F"/>
    <w:rsid w:val="006577F3"/>
    <w:rsid w:val="006609F0"/>
    <w:rsid w:val="00661DA7"/>
    <w:rsid w:val="0066527A"/>
    <w:rsid w:val="006671B4"/>
    <w:rsid w:val="00667C53"/>
    <w:rsid w:val="00670645"/>
    <w:rsid w:val="0067070B"/>
    <w:rsid w:val="00670CBC"/>
    <w:rsid w:val="006735E0"/>
    <w:rsid w:val="006770BA"/>
    <w:rsid w:val="006773A9"/>
    <w:rsid w:val="0069104C"/>
    <w:rsid w:val="00692A38"/>
    <w:rsid w:val="00693D37"/>
    <w:rsid w:val="00697B08"/>
    <w:rsid w:val="006A162E"/>
    <w:rsid w:val="006A2899"/>
    <w:rsid w:val="006A3830"/>
    <w:rsid w:val="006A42F8"/>
    <w:rsid w:val="006B1F3C"/>
    <w:rsid w:val="006B293C"/>
    <w:rsid w:val="006B47BD"/>
    <w:rsid w:val="006B6948"/>
    <w:rsid w:val="006D2009"/>
    <w:rsid w:val="006D4001"/>
    <w:rsid w:val="006D40BC"/>
    <w:rsid w:val="006D44CC"/>
    <w:rsid w:val="006D480F"/>
    <w:rsid w:val="006D4EC2"/>
    <w:rsid w:val="006D7A53"/>
    <w:rsid w:val="006D7D3A"/>
    <w:rsid w:val="006E1566"/>
    <w:rsid w:val="006E24E5"/>
    <w:rsid w:val="006E4CF2"/>
    <w:rsid w:val="006E5345"/>
    <w:rsid w:val="006E6BC1"/>
    <w:rsid w:val="006E79D1"/>
    <w:rsid w:val="006E7E32"/>
    <w:rsid w:val="006F5AAF"/>
    <w:rsid w:val="00707BF6"/>
    <w:rsid w:val="00710347"/>
    <w:rsid w:val="00714DD3"/>
    <w:rsid w:val="00716428"/>
    <w:rsid w:val="007179B1"/>
    <w:rsid w:val="007222DF"/>
    <w:rsid w:val="007231B7"/>
    <w:rsid w:val="00724F55"/>
    <w:rsid w:val="0072764A"/>
    <w:rsid w:val="0073316B"/>
    <w:rsid w:val="007364D7"/>
    <w:rsid w:val="00736C78"/>
    <w:rsid w:val="00736CB8"/>
    <w:rsid w:val="00737A3A"/>
    <w:rsid w:val="007400B6"/>
    <w:rsid w:val="0074101A"/>
    <w:rsid w:val="007435E5"/>
    <w:rsid w:val="00743A1B"/>
    <w:rsid w:val="00744912"/>
    <w:rsid w:val="00745C18"/>
    <w:rsid w:val="00753F2E"/>
    <w:rsid w:val="00755428"/>
    <w:rsid w:val="00755694"/>
    <w:rsid w:val="00755CC6"/>
    <w:rsid w:val="00756BEB"/>
    <w:rsid w:val="00765514"/>
    <w:rsid w:val="00771860"/>
    <w:rsid w:val="0077497D"/>
    <w:rsid w:val="00775D20"/>
    <w:rsid w:val="007765BF"/>
    <w:rsid w:val="00780D61"/>
    <w:rsid w:val="00784372"/>
    <w:rsid w:val="0078463A"/>
    <w:rsid w:val="00784D22"/>
    <w:rsid w:val="00785D0A"/>
    <w:rsid w:val="00787BE6"/>
    <w:rsid w:val="0079007E"/>
    <w:rsid w:val="00795848"/>
    <w:rsid w:val="007A4B47"/>
    <w:rsid w:val="007A54CF"/>
    <w:rsid w:val="007A6CF9"/>
    <w:rsid w:val="007A7275"/>
    <w:rsid w:val="007B395D"/>
    <w:rsid w:val="007B582F"/>
    <w:rsid w:val="007B783D"/>
    <w:rsid w:val="007C192E"/>
    <w:rsid w:val="007C1E74"/>
    <w:rsid w:val="007C351A"/>
    <w:rsid w:val="007D122D"/>
    <w:rsid w:val="007D3AC2"/>
    <w:rsid w:val="007D5566"/>
    <w:rsid w:val="007D67C1"/>
    <w:rsid w:val="007D6EC3"/>
    <w:rsid w:val="007D6F33"/>
    <w:rsid w:val="007D72D3"/>
    <w:rsid w:val="007E3347"/>
    <w:rsid w:val="007E4D31"/>
    <w:rsid w:val="007E7C6F"/>
    <w:rsid w:val="007E7FA0"/>
    <w:rsid w:val="007F3E80"/>
    <w:rsid w:val="007F443F"/>
    <w:rsid w:val="007F521D"/>
    <w:rsid w:val="007F57AC"/>
    <w:rsid w:val="007F6E47"/>
    <w:rsid w:val="007F7949"/>
    <w:rsid w:val="0080441D"/>
    <w:rsid w:val="00806117"/>
    <w:rsid w:val="00811469"/>
    <w:rsid w:val="00812796"/>
    <w:rsid w:val="008247CB"/>
    <w:rsid w:val="00831327"/>
    <w:rsid w:val="008317AB"/>
    <w:rsid w:val="008318EB"/>
    <w:rsid w:val="00832861"/>
    <w:rsid w:val="00834127"/>
    <w:rsid w:val="00836CDB"/>
    <w:rsid w:val="008438E7"/>
    <w:rsid w:val="008457AC"/>
    <w:rsid w:val="00854D60"/>
    <w:rsid w:val="00864183"/>
    <w:rsid w:val="00865134"/>
    <w:rsid w:val="008669A9"/>
    <w:rsid w:val="008679D9"/>
    <w:rsid w:val="0087588B"/>
    <w:rsid w:val="008775E8"/>
    <w:rsid w:val="00882FA4"/>
    <w:rsid w:val="0088517C"/>
    <w:rsid w:val="00892A08"/>
    <w:rsid w:val="008950E6"/>
    <w:rsid w:val="008A012F"/>
    <w:rsid w:val="008A2874"/>
    <w:rsid w:val="008A2AC4"/>
    <w:rsid w:val="008A55FB"/>
    <w:rsid w:val="008A57BD"/>
    <w:rsid w:val="008A6AEF"/>
    <w:rsid w:val="008B12AC"/>
    <w:rsid w:val="008B12EE"/>
    <w:rsid w:val="008B19D7"/>
    <w:rsid w:val="008B28E5"/>
    <w:rsid w:val="008B3E1E"/>
    <w:rsid w:val="008B45C8"/>
    <w:rsid w:val="008B475A"/>
    <w:rsid w:val="008B7E96"/>
    <w:rsid w:val="008C1545"/>
    <w:rsid w:val="008C52D1"/>
    <w:rsid w:val="008D07C6"/>
    <w:rsid w:val="008D1F72"/>
    <w:rsid w:val="008D3778"/>
    <w:rsid w:val="008D4AE0"/>
    <w:rsid w:val="008D67B8"/>
    <w:rsid w:val="008D7049"/>
    <w:rsid w:val="008E1315"/>
    <w:rsid w:val="008E1821"/>
    <w:rsid w:val="008E4AF9"/>
    <w:rsid w:val="008E7C21"/>
    <w:rsid w:val="008F208B"/>
    <w:rsid w:val="008F3457"/>
    <w:rsid w:val="008F689C"/>
    <w:rsid w:val="00901380"/>
    <w:rsid w:val="0090264A"/>
    <w:rsid w:val="0090398C"/>
    <w:rsid w:val="00907127"/>
    <w:rsid w:val="00913999"/>
    <w:rsid w:val="00915565"/>
    <w:rsid w:val="00915E7E"/>
    <w:rsid w:val="0091707E"/>
    <w:rsid w:val="00920652"/>
    <w:rsid w:val="00921E81"/>
    <w:rsid w:val="00923684"/>
    <w:rsid w:val="009328ED"/>
    <w:rsid w:val="00937836"/>
    <w:rsid w:val="00945C24"/>
    <w:rsid w:val="00945CC0"/>
    <w:rsid w:val="009464D2"/>
    <w:rsid w:val="00947DD4"/>
    <w:rsid w:val="0095112B"/>
    <w:rsid w:val="00951A8D"/>
    <w:rsid w:val="00952188"/>
    <w:rsid w:val="0095241E"/>
    <w:rsid w:val="00954765"/>
    <w:rsid w:val="00956AC6"/>
    <w:rsid w:val="00961455"/>
    <w:rsid w:val="00962281"/>
    <w:rsid w:val="00964CEE"/>
    <w:rsid w:val="00964F12"/>
    <w:rsid w:val="009654CC"/>
    <w:rsid w:val="00967EBD"/>
    <w:rsid w:val="00971B09"/>
    <w:rsid w:val="00971FBA"/>
    <w:rsid w:val="0097455E"/>
    <w:rsid w:val="009746A9"/>
    <w:rsid w:val="00976863"/>
    <w:rsid w:val="0097778F"/>
    <w:rsid w:val="00981D34"/>
    <w:rsid w:val="009847B2"/>
    <w:rsid w:val="00984F19"/>
    <w:rsid w:val="0098544E"/>
    <w:rsid w:val="00990E59"/>
    <w:rsid w:val="009913D9"/>
    <w:rsid w:val="00992D09"/>
    <w:rsid w:val="009960B4"/>
    <w:rsid w:val="00997AAE"/>
    <w:rsid w:val="009A03AE"/>
    <w:rsid w:val="009A3C3D"/>
    <w:rsid w:val="009A5C46"/>
    <w:rsid w:val="009A5D95"/>
    <w:rsid w:val="009B4831"/>
    <w:rsid w:val="009B5C3B"/>
    <w:rsid w:val="009B72F6"/>
    <w:rsid w:val="009C071F"/>
    <w:rsid w:val="009C1F6C"/>
    <w:rsid w:val="009C3A34"/>
    <w:rsid w:val="009C63B5"/>
    <w:rsid w:val="009C7AB6"/>
    <w:rsid w:val="009D068E"/>
    <w:rsid w:val="009D27BA"/>
    <w:rsid w:val="009D2AAB"/>
    <w:rsid w:val="009D2CC1"/>
    <w:rsid w:val="009D3611"/>
    <w:rsid w:val="009D36D0"/>
    <w:rsid w:val="009E1D0B"/>
    <w:rsid w:val="009E28E9"/>
    <w:rsid w:val="009E37E0"/>
    <w:rsid w:val="009E398A"/>
    <w:rsid w:val="009E75DF"/>
    <w:rsid w:val="009F2CB9"/>
    <w:rsid w:val="009F3CF9"/>
    <w:rsid w:val="00A01180"/>
    <w:rsid w:val="00A0237D"/>
    <w:rsid w:val="00A02738"/>
    <w:rsid w:val="00A030AD"/>
    <w:rsid w:val="00A06010"/>
    <w:rsid w:val="00A06378"/>
    <w:rsid w:val="00A06C8B"/>
    <w:rsid w:val="00A102EC"/>
    <w:rsid w:val="00A117A0"/>
    <w:rsid w:val="00A12EF6"/>
    <w:rsid w:val="00A13B95"/>
    <w:rsid w:val="00A14BED"/>
    <w:rsid w:val="00A16279"/>
    <w:rsid w:val="00A17056"/>
    <w:rsid w:val="00A20C72"/>
    <w:rsid w:val="00A2612E"/>
    <w:rsid w:val="00A300C3"/>
    <w:rsid w:val="00A30592"/>
    <w:rsid w:val="00A3237A"/>
    <w:rsid w:val="00A40A3F"/>
    <w:rsid w:val="00A41072"/>
    <w:rsid w:val="00A41301"/>
    <w:rsid w:val="00A4441D"/>
    <w:rsid w:val="00A45055"/>
    <w:rsid w:val="00A46800"/>
    <w:rsid w:val="00A52AFD"/>
    <w:rsid w:val="00A552B4"/>
    <w:rsid w:val="00A5784E"/>
    <w:rsid w:val="00A61817"/>
    <w:rsid w:val="00A61E73"/>
    <w:rsid w:val="00A632DE"/>
    <w:rsid w:val="00A6728C"/>
    <w:rsid w:val="00A761DB"/>
    <w:rsid w:val="00A77E74"/>
    <w:rsid w:val="00A8103A"/>
    <w:rsid w:val="00A84B68"/>
    <w:rsid w:val="00A91AF9"/>
    <w:rsid w:val="00A9290D"/>
    <w:rsid w:val="00A941D9"/>
    <w:rsid w:val="00A94693"/>
    <w:rsid w:val="00A9489F"/>
    <w:rsid w:val="00A97C4E"/>
    <w:rsid w:val="00AA6C48"/>
    <w:rsid w:val="00AA71EA"/>
    <w:rsid w:val="00AB079A"/>
    <w:rsid w:val="00AB390A"/>
    <w:rsid w:val="00AB3C36"/>
    <w:rsid w:val="00AC12A2"/>
    <w:rsid w:val="00AD0CA4"/>
    <w:rsid w:val="00AD1F8A"/>
    <w:rsid w:val="00AD3947"/>
    <w:rsid w:val="00AD531B"/>
    <w:rsid w:val="00AD7D5A"/>
    <w:rsid w:val="00AE34F5"/>
    <w:rsid w:val="00AE55D1"/>
    <w:rsid w:val="00AF1385"/>
    <w:rsid w:val="00AF5CE0"/>
    <w:rsid w:val="00B01EF4"/>
    <w:rsid w:val="00B02452"/>
    <w:rsid w:val="00B02E54"/>
    <w:rsid w:val="00B05F22"/>
    <w:rsid w:val="00B10C09"/>
    <w:rsid w:val="00B14861"/>
    <w:rsid w:val="00B1673D"/>
    <w:rsid w:val="00B23D1C"/>
    <w:rsid w:val="00B36EC1"/>
    <w:rsid w:val="00B37742"/>
    <w:rsid w:val="00B37DDE"/>
    <w:rsid w:val="00B409FC"/>
    <w:rsid w:val="00B515A6"/>
    <w:rsid w:val="00B5600C"/>
    <w:rsid w:val="00B56019"/>
    <w:rsid w:val="00B5693B"/>
    <w:rsid w:val="00B65305"/>
    <w:rsid w:val="00B65BB5"/>
    <w:rsid w:val="00B66110"/>
    <w:rsid w:val="00B71F41"/>
    <w:rsid w:val="00B7322D"/>
    <w:rsid w:val="00B73D44"/>
    <w:rsid w:val="00B73DD1"/>
    <w:rsid w:val="00B74B72"/>
    <w:rsid w:val="00B74FD7"/>
    <w:rsid w:val="00B75253"/>
    <w:rsid w:val="00B81DF2"/>
    <w:rsid w:val="00B83980"/>
    <w:rsid w:val="00B83EDE"/>
    <w:rsid w:val="00B86604"/>
    <w:rsid w:val="00B8724E"/>
    <w:rsid w:val="00B87CC9"/>
    <w:rsid w:val="00B87EF1"/>
    <w:rsid w:val="00B928B1"/>
    <w:rsid w:val="00B94E8F"/>
    <w:rsid w:val="00B95E4A"/>
    <w:rsid w:val="00B97BED"/>
    <w:rsid w:val="00BA34B0"/>
    <w:rsid w:val="00BA3FEC"/>
    <w:rsid w:val="00BA7422"/>
    <w:rsid w:val="00BA75E4"/>
    <w:rsid w:val="00BA7E91"/>
    <w:rsid w:val="00BB11C7"/>
    <w:rsid w:val="00BB19ED"/>
    <w:rsid w:val="00BB1B0A"/>
    <w:rsid w:val="00BB3316"/>
    <w:rsid w:val="00BB4086"/>
    <w:rsid w:val="00BB6485"/>
    <w:rsid w:val="00BB7B75"/>
    <w:rsid w:val="00BC50D8"/>
    <w:rsid w:val="00BD24EF"/>
    <w:rsid w:val="00BD4E17"/>
    <w:rsid w:val="00BE00E1"/>
    <w:rsid w:val="00BE1BDD"/>
    <w:rsid w:val="00BE40B9"/>
    <w:rsid w:val="00BE53C5"/>
    <w:rsid w:val="00BF0B74"/>
    <w:rsid w:val="00BF449A"/>
    <w:rsid w:val="00BF5243"/>
    <w:rsid w:val="00BF5D03"/>
    <w:rsid w:val="00C03A77"/>
    <w:rsid w:val="00C0464C"/>
    <w:rsid w:val="00C069DA"/>
    <w:rsid w:val="00C10742"/>
    <w:rsid w:val="00C119AE"/>
    <w:rsid w:val="00C2019B"/>
    <w:rsid w:val="00C20ECF"/>
    <w:rsid w:val="00C25CE5"/>
    <w:rsid w:val="00C32E83"/>
    <w:rsid w:val="00C33131"/>
    <w:rsid w:val="00C34FC1"/>
    <w:rsid w:val="00C401EB"/>
    <w:rsid w:val="00C411DC"/>
    <w:rsid w:val="00C42A3E"/>
    <w:rsid w:val="00C43CE5"/>
    <w:rsid w:val="00C475A0"/>
    <w:rsid w:val="00C47F2C"/>
    <w:rsid w:val="00C52C8B"/>
    <w:rsid w:val="00C55BEC"/>
    <w:rsid w:val="00C55C88"/>
    <w:rsid w:val="00C567D8"/>
    <w:rsid w:val="00C74FFC"/>
    <w:rsid w:val="00C77599"/>
    <w:rsid w:val="00C805E1"/>
    <w:rsid w:val="00C8140E"/>
    <w:rsid w:val="00C822B0"/>
    <w:rsid w:val="00C84271"/>
    <w:rsid w:val="00C85B8E"/>
    <w:rsid w:val="00C87B63"/>
    <w:rsid w:val="00C92234"/>
    <w:rsid w:val="00C931A1"/>
    <w:rsid w:val="00C932F9"/>
    <w:rsid w:val="00C97F95"/>
    <w:rsid w:val="00CA138E"/>
    <w:rsid w:val="00CA2627"/>
    <w:rsid w:val="00CA27C5"/>
    <w:rsid w:val="00CA2E31"/>
    <w:rsid w:val="00CA471D"/>
    <w:rsid w:val="00CA5B43"/>
    <w:rsid w:val="00CB198A"/>
    <w:rsid w:val="00CB3855"/>
    <w:rsid w:val="00CB3EC3"/>
    <w:rsid w:val="00CB788F"/>
    <w:rsid w:val="00CB7E14"/>
    <w:rsid w:val="00CC315E"/>
    <w:rsid w:val="00CC5B03"/>
    <w:rsid w:val="00CD29B2"/>
    <w:rsid w:val="00CD40B3"/>
    <w:rsid w:val="00CD4DCE"/>
    <w:rsid w:val="00CD58F1"/>
    <w:rsid w:val="00CD724E"/>
    <w:rsid w:val="00CE03C7"/>
    <w:rsid w:val="00CE1B2E"/>
    <w:rsid w:val="00CE323F"/>
    <w:rsid w:val="00CE4641"/>
    <w:rsid w:val="00CE5082"/>
    <w:rsid w:val="00CF393F"/>
    <w:rsid w:val="00CF44ED"/>
    <w:rsid w:val="00CF6FE8"/>
    <w:rsid w:val="00D026F2"/>
    <w:rsid w:val="00D10D82"/>
    <w:rsid w:val="00D13BDE"/>
    <w:rsid w:val="00D2303B"/>
    <w:rsid w:val="00D23B5F"/>
    <w:rsid w:val="00D27D63"/>
    <w:rsid w:val="00D30C2B"/>
    <w:rsid w:val="00D32787"/>
    <w:rsid w:val="00D417B5"/>
    <w:rsid w:val="00D50984"/>
    <w:rsid w:val="00D52284"/>
    <w:rsid w:val="00D5708D"/>
    <w:rsid w:val="00D57943"/>
    <w:rsid w:val="00D6434B"/>
    <w:rsid w:val="00D671B3"/>
    <w:rsid w:val="00D72DE3"/>
    <w:rsid w:val="00D73F37"/>
    <w:rsid w:val="00D767E5"/>
    <w:rsid w:val="00D76E4C"/>
    <w:rsid w:val="00D82E18"/>
    <w:rsid w:val="00D86F46"/>
    <w:rsid w:val="00D919B6"/>
    <w:rsid w:val="00D92E76"/>
    <w:rsid w:val="00D93BA4"/>
    <w:rsid w:val="00D949FD"/>
    <w:rsid w:val="00D9589A"/>
    <w:rsid w:val="00D97E4E"/>
    <w:rsid w:val="00DA3B97"/>
    <w:rsid w:val="00DA79FC"/>
    <w:rsid w:val="00DB0490"/>
    <w:rsid w:val="00DB3C41"/>
    <w:rsid w:val="00DB48F4"/>
    <w:rsid w:val="00DB59DC"/>
    <w:rsid w:val="00DB64B1"/>
    <w:rsid w:val="00DB679F"/>
    <w:rsid w:val="00DB6E23"/>
    <w:rsid w:val="00DB722A"/>
    <w:rsid w:val="00DC1565"/>
    <w:rsid w:val="00DC611A"/>
    <w:rsid w:val="00DC676D"/>
    <w:rsid w:val="00DD1966"/>
    <w:rsid w:val="00DD1C2D"/>
    <w:rsid w:val="00DD1D1B"/>
    <w:rsid w:val="00DD29F2"/>
    <w:rsid w:val="00DD3B0C"/>
    <w:rsid w:val="00DD4C07"/>
    <w:rsid w:val="00DD5409"/>
    <w:rsid w:val="00DD5649"/>
    <w:rsid w:val="00DD59EA"/>
    <w:rsid w:val="00DD6A38"/>
    <w:rsid w:val="00DE1E7C"/>
    <w:rsid w:val="00DE5277"/>
    <w:rsid w:val="00DE66FA"/>
    <w:rsid w:val="00DF4262"/>
    <w:rsid w:val="00DF5AE2"/>
    <w:rsid w:val="00DF74D1"/>
    <w:rsid w:val="00E03AE6"/>
    <w:rsid w:val="00E05327"/>
    <w:rsid w:val="00E05467"/>
    <w:rsid w:val="00E06A35"/>
    <w:rsid w:val="00E10341"/>
    <w:rsid w:val="00E10870"/>
    <w:rsid w:val="00E1305A"/>
    <w:rsid w:val="00E15455"/>
    <w:rsid w:val="00E20A06"/>
    <w:rsid w:val="00E226EA"/>
    <w:rsid w:val="00E235B9"/>
    <w:rsid w:val="00E26CA6"/>
    <w:rsid w:val="00E26D09"/>
    <w:rsid w:val="00E322E1"/>
    <w:rsid w:val="00E32F10"/>
    <w:rsid w:val="00E3487C"/>
    <w:rsid w:val="00E37F13"/>
    <w:rsid w:val="00E4073A"/>
    <w:rsid w:val="00E40E31"/>
    <w:rsid w:val="00E428F9"/>
    <w:rsid w:val="00E529C0"/>
    <w:rsid w:val="00E53D04"/>
    <w:rsid w:val="00E62C8B"/>
    <w:rsid w:val="00E63B09"/>
    <w:rsid w:val="00E63B55"/>
    <w:rsid w:val="00E63E74"/>
    <w:rsid w:val="00E64161"/>
    <w:rsid w:val="00E66596"/>
    <w:rsid w:val="00E731A6"/>
    <w:rsid w:val="00E7326E"/>
    <w:rsid w:val="00E73E51"/>
    <w:rsid w:val="00E82720"/>
    <w:rsid w:val="00E86C45"/>
    <w:rsid w:val="00E9270E"/>
    <w:rsid w:val="00E95379"/>
    <w:rsid w:val="00E97913"/>
    <w:rsid w:val="00EB3ACE"/>
    <w:rsid w:val="00EB4361"/>
    <w:rsid w:val="00EB4D53"/>
    <w:rsid w:val="00EB61FC"/>
    <w:rsid w:val="00EB7BA1"/>
    <w:rsid w:val="00EC0C97"/>
    <w:rsid w:val="00EC1E09"/>
    <w:rsid w:val="00EC59F0"/>
    <w:rsid w:val="00EC7765"/>
    <w:rsid w:val="00EC7767"/>
    <w:rsid w:val="00ED5844"/>
    <w:rsid w:val="00ED7B2F"/>
    <w:rsid w:val="00EE35CB"/>
    <w:rsid w:val="00EE51DD"/>
    <w:rsid w:val="00EE521D"/>
    <w:rsid w:val="00EE6114"/>
    <w:rsid w:val="00EF0A16"/>
    <w:rsid w:val="00EF0EDA"/>
    <w:rsid w:val="00EF35E5"/>
    <w:rsid w:val="00F02762"/>
    <w:rsid w:val="00F05BB4"/>
    <w:rsid w:val="00F118C1"/>
    <w:rsid w:val="00F134AC"/>
    <w:rsid w:val="00F16486"/>
    <w:rsid w:val="00F17210"/>
    <w:rsid w:val="00F23175"/>
    <w:rsid w:val="00F24BBF"/>
    <w:rsid w:val="00F3407E"/>
    <w:rsid w:val="00F359AC"/>
    <w:rsid w:val="00F35B65"/>
    <w:rsid w:val="00F4262F"/>
    <w:rsid w:val="00F45CC6"/>
    <w:rsid w:val="00F47C89"/>
    <w:rsid w:val="00F50914"/>
    <w:rsid w:val="00F50F15"/>
    <w:rsid w:val="00F5105D"/>
    <w:rsid w:val="00F52599"/>
    <w:rsid w:val="00F52A66"/>
    <w:rsid w:val="00F52DEA"/>
    <w:rsid w:val="00F53C05"/>
    <w:rsid w:val="00F60A02"/>
    <w:rsid w:val="00F63A6E"/>
    <w:rsid w:val="00F6433D"/>
    <w:rsid w:val="00F74774"/>
    <w:rsid w:val="00F75C33"/>
    <w:rsid w:val="00F76C64"/>
    <w:rsid w:val="00F828DB"/>
    <w:rsid w:val="00F8382F"/>
    <w:rsid w:val="00F92180"/>
    <w:rsid w:val="00F96C08"/>
    <w:rsid w:val="00FA389A"/>
    <w:rsid w:val="00FA4141"/>
    <w:rsid w:val="00FA5D12"/>
    <w:rsid w:val="00FB5400"/>
    <w:rsid w:val="00FC3785"/>
    <w:rsid w:val="00FC5D7E"/>
    <w:rsid w:val="00FC78B2"/>
    <w:rsid w:val="00FD125B"/>
    <w:rsid w:val="00FD219D"/>
    <w:rsid w:val="00FD306B"/>
    <w:rsid w:val="00FD6C69"/>
    <w:rsid w:val="00FE6AAF"/>
    <w:rsid w:val="00FE7755"/>
    <w:rsid w:val="00FF3E89"/>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4155</Words>
  <Characters>23684</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2020-01-10T16:17:00Z</cp:lastPrinted>
  <dcterms:created xsi:type="dcterms:W3CDTF">2020-01-10T21:15:00Z</dcterms:created>
  <dcterms:modified xsi:type="dcterms:W3CDTF">2020-02-03T19:51:00Z</dcterms:modified>
</cp:coreProperties>
</file>