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0AF214" w14:textId="73DAEBCD" w:rsidR="00EB5A64" w:rsidRDefault="00EB5A64"/>
    <w:p w14:paraId="73A7E1FB" w14:textId="03216F9A" w:rsidR="002D54B9" w:rsidRDefault="000C1DBE">
      <w:r>
        <w:rPr>
          <w:noProof/>
          <w:lang w:eastAsia="en-CA"/>
        </w:rPr>
        <w:drawing>
          <wp:anchor distT="0" distB="0" distL="114300" distR="114300" simplePos="0" relativeHeight="251657728" behindDoc="0" locked="0" layoutInCell="1" allowOverlap="1" wp14:anchorId="289C2242" wp14:editId="1770926C">
            <wp:simplePos x="0" y="0"/>
            <wp:positionH relativeFrom="margin">
              <wp:align>left</wp:align>
            </wp:positionH>
            <wp:positionV relativeFrom="paragraph">
              <wp:posOffset>-457200</wp:posOffset>
            </wp:positionV>
            <wp:extent cx="2648585" cy="284480"/>
            <wp:effectExtent l="0" t="0" r="0" b="0"/>
            <wp:wrapNone/>
            <wp:docPr id="2"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2648585" cy="284480"/>
                    </a:xfrm>
                    <a:prstGeom prst="rect">
                      <a:avLst/>
                    </a:prstGeom>
                    <a:noFill/>
                  </pic:spPr>
                </pic:pic>
              </a:graphicData>
            </a:graphic>
            <wp14:sizeRelH relativeFrom="page">
              <wp14:pctWidth>0</wp14:pctWidth>
            </wp14:sizeRelH>
            <wp14:sizeRelV relativeFrom="page">
              <wp14:pctHeight>0</wp14:pctHeight>
            </wp14:sizeRelV>
          </wp:anchor>
        </w:drawing>
      </w:r>
    </w:p>
    <w:p w14:paraId="0A955BE4" w14:textId="77777777" w:rsidR="002D54B9" w:rsidRDefault="002D54B9" w:rsidP="002925A3">
      <w:pPr>
        <w:spacing w:after="0"/>
      </w:pPr>
    </w:p>
    <w:p w14:paraId="1EF2EE0E" w14:textId="77777777" w:rsidR="002D54B9" w:rsidRDefault="002D54B9" w:rsidP="002925A3">
      <w:pPr>
        <w:spacing w:after="0"/>
      </w:pPr>
    </w:p>
    <w:p w14:paraId="68A359B6" w14:textId="77777777" w:rsidR="002D54B9" w:rsidRDefault="002D54B9" w:rsidP="002925A3">
      <w:pPr>
        <w:spacing w:after="0"/>
      </w:pPr>
    </w:p>
    <w:p w14:paraId="5DB59805" w14:textId="77777777" w:rsidR="002D54B9" w:rsidRDefault="002D54B9" w:rsidP="002925A3">
      <w:pPr>
        <w:spacing w:after="0"/>
      </w:pPr>
    </w:p>
    <w:p w14:paraId="052AD712" w14:textId="77777777" w:rsidR="002D54B9" w:rsidRDefault="002D54B9" w:rsidP="002925A3">
      <w:pPr>
        <w:spacing w:after="0"/>
      </w:pPr>
    </w:p>
    <w:p w14:paraId="57898B47" w14:textId="77777777" w:rsidR="002D54B9" w:rsidRDefault="002D54B9" w:rsidP="002925A3">
      <w:pPr>
        <w:spacing w:after="0"/>
      </w:pPr>
    </w:p>
    <w:p w14:paraId="05782C9A" w14:textId="77777777" w:rsidR="00974C73" w:rsidRPr="0096449E" w:rsidRDefault="00974C73" w:rsidP="00974C73">
      <w:pPr>
        <w:spacing w:after="0"/>
        <w:ind w:right="1872"/>
        <w:rPr>
          <w:rFonts w:ascii="Segoe UI Light" w:hAnsi="Segoe UI Light" w:cs="Segoe UI Light"/>
          <w:sz w:val="52"/>
          <w:lang w:val="fr-CA"/>
        </w:rPr>
      </w:pPr>
      <w:r w:rsidRPr="0096449E">
        <w:rPr>
          <w:rFonts w:ascii="Segoe UI Light" w:hAnsi="Segoe UI Light" w:cs="Segoe UI Light"/>
          <w:sz w:val="52"/>
          <w:lang w:val="fr-CA"/>
        </w:rPr>
        <w:t xml:space="preserve">Collecte continue de données qualitatives sur les opinions des Canadiens </w:t>
      </w:r>
      <w:r>
        <w:rPr>
          <w:rFonts w:ascii="Segoe UI Light" w:hAnsi="Segoe UI Light" w:cs="Segoe UI Light"/>
          <w:sz w:val="52"/>
          <w:lang w:val="fr-CA"/>
        </w:rPr>
        <w:t xml:space="preserve">– juin </w:t>
      </w:r>
      <w:r w:rsidRPr="0096449E">
        <w:rPr>
          <w:rFonts w:ascii="Segoe UI Light" w:hAnsi="Segoe UI Light" w:cs="Segoe UI Light"/>
          <w:sz w:val="52"/>
          <w:lang w:val="fr-CA"/>
        </w:rPr>
        <w:t>2020</w:t>
      </w:r>
    </w:p>
    <w:p w14:paraId="42CACC75" w14:textId="77777777" w:rsidR="002D54B9" w:rsidRPr="00974C73" w:rsidRDefault="002D54B9" w:rsidP="002925A3">
      <w:pPr>
        <w:spacing w:after="0"/>
        <w:rPr>
          <w:sz w:val="28"/>
          <w:lang w:val="fr-CA"/>
        </w:rPr>
      </w:pPr>
    </w:p>
    <w:p w14:paraId="1D12A834" w14:textId="77777777" w:rsidR="00974C73" w:rsidRPr="0096449E" w:rsidRDefault="00974C73" w:rsidP="00974C73">
      <w:pPr>
        <w:rPr>
          <w:sz w:val="28"/>
          <w:lang w:val="fr-CA"/>
        </w:rPr>
      </w:pPr>
      <w:r>
        <w:rPr>
          <w:sz w:val="28"/>
          <w:lang w:val="fr-CA"/>
        </w:rPr>
        <w:t>Sommaire</w:t>
      </w:r>
    </w:p>
    <w:p w14:paraId="748920AF" w14:textId="77777777" w:rsidR="002D54B9" w:rsidRPr="00974C73" w:rsidRDefault="002D54B9" w:rsidP="002925A3">
      <w:pPr>
        <w:spacing w:after="0"/>
        <w:rPr>
          <w:lang w:val="fr-CA"/>
        </w:rPr>
      </w:pPr>
    </w:p>
    <w:p w14:paraId="750CC7EB" w14:textId="77777777" w:rsidR="00706DE6" w:rsidRPr="00974C73" w:rsidRDefault="00706DE6" w:rsidP="002925A3">
      <w:pPr>
        <w:spacing w:after="0"/>
        <w:rPr>
          <w:lang w:val="fr-CA"/>
        </w:rPr>
      </w:pPr>
    </w:p>
    <w:p w14:paraId="33620ECC" w14:textId="77777777" w:rsidR="00663948" w:rsidRPr="00974C73" w:rsidRDefault="00663948" w:rsidP="002925A3">
      <w:pPr>
        <w:spacing w:after="0"/>
        <w:rPr>
          <w:lang w:val="fr-CA"/>
        </w:rPr>
      </w:pPr>
    </w:p>
    <w:p w14:paraId="167F1FFE" w14:textId="77777777" w:rsidR="00E804DC" w:rsidRPr="00974C73" w:rsidRDefault="00E804DC" w:rsidP="002925A3">
      <w:pPr>
        <w:spacing w:after="0"/>
        <w:rPr>
          <w:lang w:val="fr-CA"/>
        </w:rPr>
      </w:pPr>
    </w:p>
    <w:p w14:paraId="25FB0AB9" w14:textId="77777777" w:rsidR="00E804DC" w:rsidRPr="00974C73" w:rsidRDefault="00E804DC" w:rsidP="002925A3">
      <w:pPr>
        <w:spacing w:after="0"/>
        <w:rPr>
          <w:lang w:val="fr-CA"/>
        </w:rPr>
      </w:pPr>
    </w:p>
    <w:p w14:paraId="11FC3742" w14:textId="77777777" w:rsidR="002D54B9" w:rsidRPr="00974C73" w:rsidRDefault="002D54B9" w:rsidP="002925A3">
      <w:pPr>
        <w:spacing w:after="0"/>
        <w:rPr>
          <w:lang w:val="fr-CA"/>
        </w:rPr>
      </w:pPr>
    </w:p>
    <w:p w14:paraId="4F3E4E0F" w14:textId="77777777" w:rsidR="00974C73" w:rsidRPr="0096449E" w:rsidRDefault="00974C73" w:rsidP="00974C73">
      <w:pPr>
        <w:spacing w:after="0"/>
        <w:rPr>
          <w:b/>
          <w:sz w:val="22"/>
          <w:lang w:val="fr-CA"/>
        </w:rPr>
      </w:pPr>
      <w:r w:rsidRPr="0096449E">
        <w:rPr>
          <w:b/>
          <w:sz w:val="22"/>
          <w:lang w:val="fr-CA"/>
        </w:rPr>
        <w:t>Rédigé pour le compte du Bureau du Conseil privé</w:t>
      </w:r>
    </w:p>
    <w:p w14:paraId="24457D87" w14:textId="77777777" w:rsidR="00974C73" w:rsidRPr="0096449E" w:rsidRDefault="00974C73" w:rsidP="00974C73">
      <w:pPr>
        <w:spacing w:after="0"/>
        <w:rPr>
          <w:lang w:val="fr-CA"/>
        </w:rPr>
      </w:pPr>
      <w:r w:rsidRPr="0096449E">
        <w:rPr>
          <w:lang w:val="fr-CA"/>
        </w:rPr>
        <w:t>Fournisseur </w:t>
      </w:r>
      <w:proofErr w:type="gramStart"/>
      <w:r w:rsidRPr="0096449E">
        <w:rPr>
          <w:lang w:val="fr-CA"/>
        </w:rPr>
        <w:t>:  The</w:t>
      </w:r>
      <w:proofErr w:type="gramEnd"/>
      <w:r w:rsidRPr="0096449E">
        <w:rPr>
          <w:lang w:val="fr-CA"/>
        </w:rPr>
        <w:t xml:space="preserve"> Strategic Counsel</w:t>
      </w:r>
    </w:p>
    <w:p w14:paraId="18ED62FC" w14:textId="77777777" w:rsidR="00974C73" w:rsidRPr="0096449E" w:rsidRDefault="00974C73" w:rsidP="00974C73">
      <w:pPr>
        <w:spacing w:after="0"/>
        <w:rPr>
          <w:lang w:val="fr-CA"/>
        </w:rPr>
      </w:pPr>
      <w:r w:rsidRPr="0096449E">
        <w:rPr>
          <w:lang w:val="fr-CA"/>
        </w:rPr>
        <w:t>Numéro de contrat </w:t>
      </w:r>
      <w:proofErr w:type="gramStart"/>
      <w:r w:rsidRPr="0096449E">
        <w:rPr>
          <w:lang w:val="fr-CA"/>
        </w:rPr>
        <w:t>:  35035</w:t>
      </w:r>
      <w:proofErr w:type="gramEnd"/>
      <w:r w:rsidRPr="0096449E">
        <w:rPr>
          <w:lang w:val="fr-CA"/>
        </w:rPr>
        <w:t>-182346/001/CY</w:t>
      </w:r>
    </w:p>
    <w:p w14:paraId="65FB2733" w14:textId="77777777" w:rsidR="00974C73" w:rsidRPr="0096449E" w:rsidRDefault="00974C73" w:rsidP="00974C73">
      <w:pPr>
        <w:spacing w:after="0"/>
        <w:rPr>
          <w:lang w:val="fr-CA"/>
        </w:rPr>
      </w:pPr>
      <w:r w:rsidRPr="0096449E">
        <w:rPr>
          <w:lang w:val="fr-CA"/>
        </w:rPr>
        <w:t>Valeur du contrat </w:t>
      </w:r>
      <w:proofErr w:type="gramStart"/>
      <w:r w:rsidRPr="0096449E">
        <w:rPr>
          <w:lang w:val="fr-CA"/>
        </w:rPr>
        <w:t>:  808</w:t>
      </w:r>
      <w:proofErr w:type="gramEnd"/>
      <w:r w:rsidRPr="0096449E">
        <w:rPr>
          <w:lang w:val="fr-CA"/>
        </w:rPr>
        <w:t> 684,50 $</w:t>
      </w:r>
    </w:p>
    <w:p w14:paraId="6F1BBE92" w14:textId="77777777" w:rsidR="00974C73" w:rsidRPr="0096449E" w:rsidRDefault="00974C73" w:rsidP="00974C73">
      <w:pPr>
        <w:spacing w:after="0"/>
        <w:rPr>
          <w:lang w:val="fr-CA"/>
        </w:rPr>
      </w:pPr>
      <w:r w:rsidRPr="0096449E">
        <w:rPr>
          <w:lang w:val="fr-CA"/>
        </w:rPr>
        <w:t>Date d’octroi du contrat : 27 juin 2019</w:t>
      </w:r>
    </w:p>
    <w:p w14:paraId="166AC839" w14:textId="77777777" w:rsidR="00974C73" w:rsidRPr="0096449E" w:rsidRDefault="00974C73" w:rsidP="00974C73">
      <w:pPr>
        <w:spacing w:after="0"/>
        <w:rPr>
          <w:lang w:val="fr-CA"/>
        </w:rPr>
      </w:pPr>
      <w:r w:rsidRPr="0096449E">
        <w:rPr>
          <w:lang w:val="fr-CA"/>
        </w:rPr>
        <w:t>Date de livraison</w:t>
      </w:r>
      <w:r>
        <w:rPr>
          <w:lang w:val="fr-CA"/>
        </w:rPr>
        <w:t xml:space="preserve"> : </w:t>
      </w:r>
      <w:r w:rsidRPr="007263C1">
        <w:rPr>
          <w:lang w:val="fr-CA"/>
        </w:rPr>
        <w:t xml:space="preserve">7 août </w:t>
      </w:r>
      <w:r w:rsidRPr="00623049">
        <w:rPr>
          <w:lang w:val="fr-CA"/>
        </w:rPr>
        <w:t>2020</w:t>
      </w:r>
    </w:p>
    <w:p w14:paraId="198FFCD0" w14:textId="77777777" w:rsidR="00974C73" w:rsidRPr="0096449E" w:rsidRDefault="00974C73" w:rsidP="00974C73">
      <w:pPr>
        <w:spacing w:after="0"/>
        <w:rPr>
          <w:lang w:val="fr-CA"/>
        </w:rPr>
      </w:pPr>
    </w:p>
    <w:p w14:paraId="43E283B1" w14:textId="77777777" w:rsidR="00974C73" w:rsidRPr="0096449E" w:rsidRDefault="00974C73" w:rsidP="00974C73">
      <w:pPr>
        <w:spacing w:after="0"/>
        <w:rPr>
          <w:lang w:val="fr-CA"/>
        </w:rPr>
      </w:pPr>
      <w:r w:rsidRPr="0096449E">
        <w:rPr>
          <w:lang w:val="fr-CA"/>
        </w:rPr>
        <w:t>Numéro d’enregistrement </w:t>
      </w:r>
      <w:proofErr w:type="gramStart"/>
      <w:r w:rsidRPr="0096449E">
        <w:rPr>
          <w:lang w:val="fr-CA"/>
        </w:rPr>
        <w:t>:  POR</w:t>
      </w:r>
      <w:proofErr w:type="gramEnd"/>
      <w:r w:rsidRPr="0096449E">
        <w:rPr>
          <w:lang w:val="fr-CA"/>
        </w:rPr>
        <w:t>-005-19</w:t>
      </w:r>
    </w:p>
    <w:p w14:paraId="63E2E5C1" w14:textId="77777777" w:rsidR="00974C73" w:rsidRPr="0096449E" w:rsidRDefault="00974C73" w:rsidP="00974C73">
      <w:pPr>
        <w:spacing w:after="0"/>
        <w:rPr>
          <w:lang w:val="fr-CA"/>
        </w:rPr>
      </w:pPr>
      <w:r w:rsidRPr="00974C73">
        <w:rPr>
          <w:rStyle w:val="Hyperlink"/>
          <w:color w:val="5A5B5E" w:themeColor="text1"/>
          <w:u w:val="none"/>
          <w:lang w:val="fr-CA"/>
        </w:rPr>
        <w:t xml:space="preserve">Pour de plus amples renseignements sur ce rapport, prière d’écrire à </w:t>
      </w:r>
      <w:hyperlink r:id="rId9" w:history="1">
        <w:r w:rsidRPr="0096449E">
          <w:rPr>
            <w:rStyle w:val="Hyperlink"/>
            <w:lang w:val="fr-CA"/>
          </w:rPr>
          <w:t>por-rop@pco-bcp.ca</w:t>
        </w:r>
      </w:hyperlink>
    </w:p>
    <w:p w14:paraId="12950FC2" w14:textId="77777777" w:rsidR="00974C73" w:rsidRPr="0096449E" w:rsidRDefault="00974C73" w:rsidP="00974C73">
      <w:pPr>
        <w:spacing w:after="0"/>
        <w:rPr>
          <w:lang w:val="fr-CA"/>
        </w:rPr>
      </w:pPr>
    </w:p>
    <w:p w14:paraId="7B8A3581" w14:textId="77777777" w:rsidR="00974C73" w:rsidRPr="0096449E" w:rsidRDefault="00974C73" w:rsidP="00974C73">
      <w:pPr>
        <w:spacing w:after="0"/>
        <w:rPr>
          <w:lang w:val="fr-CA"/>
        </w:rPr>
      </w:pPr>
    </w:p>
    <w:p w14:paraId="245CCADF" w14:textId="00338044" w:rsidR="002D54B9" w:rsidRPr="00974C73" w:rsidRDefault="00974C73" w:rsidP="00974C73">
      <w:pPr>
        <w:spacing w:after="0"/>
      </w:pPr>
      <w:r w:rsidRPr="00E65BBD">
        <w:t>This report is also available in English</w:t>
      </w:r>
    </w:p>
    <w:p w14:paraId="16DF8E94" w14:textId="77777777" w:rsidR="002D54B9" w:rsidRPr="002B5D50" w:rsidRDefault="000C1DBE" w:rsidP="002925A3">
      <w:pPr>
        <w:spacing w:after="0"/>
      </w:pPr>
      <w:r>
        <w:rPr>
          <w:noProof/>
          <w:lang w:eastAsia="en-CA"/>
        </w:rPr>
        <w:drawing>
          <wp:anchor distT="0" distB="0" distL="114300" distR="114300" simplePos="0" relativeHeight="251656704" behindDoc="0" locked="0" layoutInCell="1" allowOverlap="1" wp14:anchorId="08DAFD72" wp14:editId="2CDA47C2">
            <wp:simplePos x="0" y="0"/>
            <wp:positionH relativeFrom="margin">
              <wp:posOffset>4235450</wp:posOffset>
            </wp:positionH>
            <wp:positionV relativeFrom="bottomMargin">
              <wp:align>top</wp:align>
            </wp:positionV>
            <wp:extent cx="1746250" cy="456565"/>
            <wp:effectExtent l="0" t="0" r="0" b="0"/>
            <wp:wrapNone/>
            <wp:docPr id="3" name="Picture 24" descr="Canada wordmar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descr="Canada wordmark"/>
                    <pic:cNvPicPr>
                      <a:picLocks/>
                    </pic:cNvPicPr>
                  </pic:nvPicPr>
                  <pic:blipFill>
                    <a:blip r:embed="rId10" cstate="screen">
                      <a:extLst>
                        <a:ext uri="{28A0092B-C50C-407E-A947-70E740481C1C}">
                          <a14:useLocalDpi xmlns:a14="http://schemas.microsoft.com/office/drawing/2010/main"/>
                        </a:ext>
                      </a:extLst>
                    </a:blip>
                    <a:srcRect/>
                    <a:stretch>
                      <a:fillRect/>
                    </a:stretch>
                  </pic:blipFill>
                  <pic:spPr bwMode="auto">
                    <a:xfrm>
                      <a:off x="0" y="0"/>
                      <a:ext cx="1746250" cy="456565"/>
                    </a:xfrm>
                    <a:prstGeom prst="rect">
                      <a:avLst/>
                    </a:prstGeom>
                    <a:noFill/>
                  </pic:spPr>
                </pic:pic>
              </a:graphicData>
            </a:graphic>
            <wp14:sizeRelH relativeFrom="page">
              <wp14:pctWidth>0</wp14:pctWidth>
            </wp14:sizeRelH>
            <wp14:sizeRelV relativeFrom="page">
              <wp14:pctHeight>0</wp14:pctHeight>
            </wp14:sizeRelV>
          </wp:anchor>
        </w:drawing>
      </w:r>
    </w:p>
    <w:p w14:paraId="112C9399" w14:textId="77777777" w:rsidR="00974C73" w:rsidRPr="00B4200C" w:rsidRDefault="00974C73" w:rsidP="00974C73">
      <w:pPr>
        <w:pStyle w:val="SectionDivider"/>
      </w:pPr>
      <w:bookmarkStart w:id="0" w:name="_Toc36813752"/>
    </w:p>
    <w:p w14:paraId="56D2C994" w14:textId="77777777" w:rsidR="00974C73" w:rsidRPr="0096449E" w:rsidRDefault="00974C73" w:rsidP="00974C73">
      <w:pPr>
        <w:pStyle w:val="SectionDivider"/>
        <w:rPr>
          <w:lang w:val="fr-CA"/>
        </w:rPr>
      </w:pPr>
      <w:r w:rsidRPr="0096449E">
        <w:rPr>
          <w:lang w:val="fr-CA"/>
        </w:rPr>
        <w:t>Résumé</w:t>
      </w:r>
    </w:p>
    <w:p w14:paraId="6F8C088E" w14:textId="77777777" w:rsidR="00974C73" w:rsidRPr="0096449E" w:rsidRDefault="00974C73" w:rsidP="00974C73">
      <w:pPr>
        <w:pStyle w:val="Heading1"/>
        <w:rPr>
          <w:lang w:val="fr-CA"/>
        </w:rPr>
      </w:pPr>
      <w:r w:rsidRPr="0096449E">
        <w:rPr>
          <w:lang w:val="fr-CA"/>
        </w:rPr>
        <w:t>Introduction</w:t>
      </w:r>
    </w:p>
    <w:p w14:paraId="6A312EF6" w14:textId="77777777" w:rsidR="00974C73" w:rsidRPr="007263C1" w:rsidRDefault="00974C73" w:rsidP="00974C73">
      <w:pPr>
        <w:rPr>
          <w:lang w:val="fr-CA"/>
        </w:rPr>
      </w:pPr>
      <w:bookmarkStart w:id="1" w:name="lt_pId045"/>
      <w:bookmarkStart w:id="2" w:name="lt_pId054"/>
      <w:r w:rsidRPr="007263C1">
        <w:rPr>
          <w:lang w:val="fr-CA"/>
        </w:rPr>
        <w:t>Le Secrétariat des communications et des consultations du Bureau du Conseil privé (BCP) a confié à The Strategic Counsel (TSC) le mandat de mener des cycles de recherche par groupe de discussion auprès de membres du public un peu partout au pays, portant sur des enjeux, des événements et des initiatives stratégiques de premier plan liés au gouvernement du Canada.</w:t>
      </w:r>
      <w:bookmarkEnd w:id="1"/>
      <w:r w:rsidRPr="007263C1">
        <w:rPr>
          <w:lang w:val="fr-CA"/>
        </w:rPr>
        <w:t xml:space="preserve"> </w:t>
      </w:r>
    </w:p>
    <w:p w14:paraId="7BE38B79" w14:textId="77777777" w:rsidR="00974C73" w:rsidRPr="007263C1" w:rsidRDefault="00974C73" w:rsidP="00974C73">
      <w:pPr>
        <w:rPr>
          <w:lang w:val="fr-CA"/>
        </w:rPr>
      </w:pPr>
      <w:bookmarkStart w:id="3" w:name="lt_pId046"/>
      <w:proofErr w:type="gramStart"/>
      <w:r w:rsidRPr="007263C1">
        <w:rPr>
          <w:lang w:val="fr-CA"/>
        </w:rPr>
        <w:t>L’objectif général de ce programme de recherche qualitative se décline en trois volets : analyser les dimensions et les facteurs d’influence de l’opinion publique sur les plus importants enjeux auxquels le pays est confronté; évaluer les perceptions et les attentes relatives aux mesures et aux priorités du gouvernement fédéral; orienter l’élaboration des communications du gouvernement du Canada pour qu’elles continuent de s’harmoniser avec les points de vue des Canadiennes et des Canadiens et leurs besoins en matière d’information, tout en demeurant claires et à faciles comprendre.</w:t>
      </w:r>
      <w:bookmarkEnd w:id="3"/>
      <w:proofErr w:type="gramEnd"/>
    </w:p>
    <w:p w14:paraId="636AA7AD" w14:textId="77777777" w:rsidR="00974C73" w:rsidRPr="007263C1" w:rsidRDefault="00974C73" w:rsidP="00974C73">
      <w:pPr>
        <w:rPr>
          <w:lang w:val="fr-CA"/>
        </w:rPr>
      </w:pPr>
      <w:bookmarkStart w:id="4" w:name="lt_pId048"/>
      <w:r w:rsidRPr="007263C1">
        <w:rPr>
          <w:lang w:val="fr-CA"/>
        </w:rPr>
        <w:t>La recherche vise à aider le Secrétariat des communications et des consultations du BCP à remplir son mandat, qui consiste à soutenir le bureau du premier ministre dans la coordination des communications du gouvernement. Plus particulièrement, la recherche permettra de s’assurer que le BCP reste au fait des tendances émergentes et de l’opinion des Canadiens sur les enjeux de macro-niveau qui intéressent le gouvernement.</w:t>
      </w:r>
      <w:bookmarkEnd w:id="4"/>
    </w:p>
    <w:p w14:paraId="0DAF8878" w14:textId="77777777" w:rsidR="00974C73" w:rsidRPr="007263C1" w:rsidRDefault="00974C73" w:rsidP="00974C73">
      <w:pPr>
        <w:rPr>
          <w:lang w:val="fr-CA"/>
        </w:rPr>
      </w:pPr>
      <w:bookmarkStart w:id="5" w:name="lt_pId049"/>
      <w:r w:rsidRPr="007263C1">
        <w:rPr>
          <w:lang w:val="fr-CA"/>
        </w:rPr>
        <w:t xml:space="preserve">Le présent rapport dévoile les conclusions qui ressortent de douze groupes de discussion en ligne organisés entre le 2 et le 29 juin 2020 dans de nombreuses localités du pays, au Canada atlantique, au </w:t>
      </w:r>
      <w:r w:rsidRPr="007263C1">
        <w:rPr>
          <w:lang w:val="fr-CA"/>
        </w:rPr>
        <w:lastRenderedPageBreak/>
        <w:t>Québec, en Ontario, dans les Prairies, en Alberta et en Colombie-Britannique.</w:t>
      </w:r>
      <w:bookmarkEnd w:id="5"/>
      <w:r w:rsidRPr="007263C1">
        <w:rPr>
          <w:lang w:val="fr-CA"/>
        </w:rPr>
        <w:t xml:space="preserve"> </w:t>
      </w:r>
      <w:bookmarkStart w:id="6" w:name="lt_pId050"/>
      <w:r w:rsidRPr="007263C1">
        <w:rPr>
          <w:lang w:val="fr-CA"/>
        </w:rPr>
        <w:t>Les détails concernant les lieux, le recrutement et la composition des groupes figurent ci-dessous.</w:t>
      </w:r>
      <w:bookmarkEnd w:id="6"/>
    </w:p>
    <w:p w14:paraId="2213174C" w14:textId="77777777" w:rsidR="00974C73" w:rsidRPr="007263C1" w:rsidRDefault="00974C73" w:rsidP="00974C73">
      <w:pPr>
        <w:rPr>
          <w:lang w:val="fr-CA"/>
        </w:rPr>
      </w:pPr>
      <w:bookmarkStart w:id="7" w:name="lt_pId051"/>
      <w:r w:rsidRPr="007263C1">
        <w:rPr>
          <w:lang w:val="fr-CA"/>
        </w:rPr>
        <w:t>Ce cycle de groupes de discussion, tenu alors que la pandémie se poursuivait au Canada et que progressaient les étapes de la réouverture, a surtout porté sur la COVID-19.</w:t>
      </w:r>
      <w:bookmarkEnd w:id="7"/>
      <w:r w:rsidRPr="007263C1">
        <w:rPr>
          <w:lang w:val="fr-CA"/>
        </w:rPr>
        <w:t xml:space="preserve"> </w:t>
      </w:r>
      <w:bookmarkStart w:id="8" w:name="lt_pId052"/>
      <w:r w:rsidRPr="007263C1">
        <w:rPr>
          <w:lang w:val="fr-CA"/>
        </w:rPr>
        <w:t>La recherche a permis d’analyser en profondeur une foule de sujets connexes, notamment les perceptions concernant la réponse du gouvernement fédéral à ce jour, les changements de comportement des Canadiens, leurs points de vue sur la réouverture, leurs perceptions des répercussions économiques du virus et les discussions entourant une application de recherche de contacts.</w:t>
      </w:r>
      <w:bookmarkEnd w:id="8"/>
      <w:r w:rsidRPr="007263C1">
        <w:rPr>
          <w:lang w:val="fr-CA"/>
        </w:rPr>
        <w:t xml:space="preserve"> </w:t>
      </w:r>
      <w:bookmarkStart w:id="9" w:name="lt_pId053"/>
      <w:r w:rsidRPr="007263C1">
        <w:rPr>
          <w:lang w:val="fr-CA"/>
        </w:rPr>
        <w:t>Au cours du mois, on a également testé divers concepts de marque et témoignages publicitaires visant à communiquer avec le public au sujet de la COVID-19.</w:t>
      </w:r>
      <w:bookmarkEnd w:id="9"/>
      <w:r w:rsidRPr="007263C1">
        <w:rPr>
          <w:lang w:val="fr-CA"/>
        </w:rPr>
        <w:t xml:space="preserve"> Les participants de certains lieux ont aussi abordé des thèmes liés au racisme, leurs enjeux locaux et d’autres actualités et questions concernant le gouvernement fédéral.  </w:t>
      </w:r>
    </w:p>
    <w:p w14:paraId="51717ED2" w14:textId="77777777" w:rsidR="00974C73" w:rsidRPr="00623049" w:rsidRDefault="00974C73" w:rsidP="00974C73">
      <w:pPr>
        <w:rPr>
          <w:lang w:val="fr-CA"/>
        </w:rPr>
      </w:pPr>
      <w:r w:rsidRPr="007263C1">
        <w:rPr>
          <w:lang w:val="fr-CA"/>
        </w:rPr>
        <w:t>Il convient de souligner que les résultats de la présente étude doivent être interprétés avec prudence, les conclusions d’une recherche qualitative étant de nature directionnelle et ne pouvant être attribuées à l’ensemble de la population à l’étude avec un quelconque degré de certitude</w:t>
      </w:r>
      <w:r w:rsidRPr="00623049">
        <w:rPr>
          <w:lang w:val="fr-CA"/>
        </w:rPr>
        <w:t>.</w:t>
      </w:r>
      <w:bookmarkEnd w:id="2"/>
    </w:p>
    <w:p w14:paraId="0A1B31AF" w14:textId="77777777" w:rsidR="00974C73" w:rsidRPr="00623049" w:rsidRDefault="00974C73" w:rsidP="00974C73">
      <w:pPr>
        <w:pStyle w:val="Heading1"/>
        <w:rPr>
          <w:lang w:val="fr-CA"/>
        </w:rPr>
      </w:pPr>
      <w:bookmarkStart w:id="10" w:name="lt_pId055"/>
      <w:r w:rsidRPr="00623049">
        <w:rPr>
          <w:lang w:val="fr-CA"/>
        </w:rPr>
        <w:t>Méthodologie</w:t>
      </w:r>
      <w:bookmarkEnd w:id="10"/>
    </w:p>
    <w:p w14:paraId="504DAF8F" w14:textId="77777777" w:rsidR="00974C73" w:rsidRPr="007263C1" w:rsidRDefault="00974C73" w:rsidP="00974C73">
      <w:pPr>
        <w:rPr>
          <w:rFonts w:ascii="Segoe UI Light" w:hAnsi="Segoe UI Light" w:cs="Calibri Light"/>
          <w:b/>
          <w:sz w:val="44"/>
          <w:lang w:val="fr-CA"/>
        </w:rPr>
      </w:pPr>
      <w:r w:rsidRPr="007263C1">
        <w:rPr>
          <w:b/>
          <w:lang w:val="fr-CA"/>
        </w:rPr>
        <w:t>Aperçu des groupes</w:t>
      </w:r>
    </w:p>
    <w:p w14:paraId="4F54E880" w14:textId="77777777" w:rsidR="00974C73" w:rsidRPr="007263C1" w:rsidRDefault="00974C73" w:rsidP="00974C73">
      <w:pPr>
        <w:rPr>
          <w:lang w:val="fr-CA"/>
        </w:rPr>
      </w:pPr>
      <w:bookmarkStart w:id="11" w:name="lt_pId057"/>
      <w:r w:rsidRPr="007263C1">
        <w:rPr>
          <w:lang w:val="fr-CA"/>
        </w:rPr>
        <w:t>Public cible</w:t>
      </w:r>
      <w:bookmarkEnd w:id="11"/>
    </w:p>
    <w:p w14:paraId="07685164" w14:textId="77777777" w:rsidR="00974C73" w:rsidRPr="007263C1" w:rsidRDefault="00974C73" w:rsidP="00974C73">
      <w:pPr>
        <w:pStyle w:val="ListParagraph"/>
        <w:rPr>
          <w:lang w:val="fr-CA"/>
        </w:rPr>
      </w:pPr>
      <w:bookmarkStart w:id="12" w:name="lt_pId058"/>
      <w:r w:rsidRPr="007263C1">
        <w:rPr>
          <w:lang w:val="fr-CA"/>
        </w:rPr>
        <w:t>Résidents canadiens de 18 ans et plus</w:t>
      </w:r>
      <w:bookmarkEnd w:id="12"/>
      <w:r w:rsidRPr="007263C1">
        <w:rPr>
          <w:lang w:val="fr-CA"/>
        </w:rPr>
        <w:t>.</w:t>
      </w:r>
    </w:p>
    <w:p w14:paraId="48072977" w14:textId="77777777" w:rsidR="00974C73" w:rsidRPr="007263C1" w:rsidRDefault="00974C73" w:rsidP="00974C73">
      <w:pPr>
        <w:pStyle w:val="ListParagraph"/>
        <w:rPr>
          <w:lang w:val="fr-CA"/>
        </w:rPr>
      </w:pPr>
      <w:bookmarkStart w:id="13" w:name="lt_pId061"/>
      <w:r w:rsidRPr="007263C1">
        <w:rPr>
          <w:lang w:val="fr-CA"/>
        </w:rPr>
        <w:t xml:space="preserve">Les groupes ont été formés en fonction du lieu. </w:t>
      </w:r>
    </w:p>
    <w:p w14:paraId="55CEA6A7" w14:textId="77777777" w:rsidR="00974C73" w:rsidRPr="007263C1" w:rsidRDefault="00974C73" w:rsidP="00974C73">
      <w:pPr>
        <w:pStyle w:val="ListParagraph"/>
        <w:rPr>
          <w:lang w:val="fr-CA"/>
        </w:rPr>
      </w:pPr>
      <w:bookmarkStart w:id="14" w:name="lt_pId060"/>
      <w:bookmarkEnd w:id="13"/>
      <w:r w:rsidRPr="007263C1">
        <w:rPr>
          <w:lang w:val="fr-CA"/>
        </w:rPr>
        <w:t>Certains groupes se composaient de répondants appartenant à des sous-groupes de la population, par exemple des parents, des aînés, des bénéficiaires de la Prestation canadienne d’urgence (PCU) et de nouveaux arrivants.</w:t>
      </w:r>
      <w:bookmarkEnd w:id="14"/>
    </w:p>
    <w:p w14:paraId="73DC2823" w14:textId="77777777" w:rsidR="00974C73" w:rsidRPr="007263C1" w:rsidRDefault="00974C73" w:rsidP="00974C73">
      <w:pPr>
        <w:rPr>
          <w:lang w:val="fr-CA"/>
        </w:rPr>
      </w:pPr>
    </w:p>
    <w:p w14:paraId="5FFCADE4" w14:textId="77777777" w:rsidR="00974C73" w:rsidRPr="007263C1" w:rsidRDefault="00974C73" w:rsidP="00974C73">
      <w:pPr>
        <w:rPr>
          <w:b/>
          <w:lang w:val="fr-CA"/>
        </w:rPr>
      </w:pPr>
      <w:r w:rsidRPr="007263C1">
        <w:rPr>
          <w:b/>
          <w:lang w:val="fr-CA"/>
        </w:rPr>
        <w:t>Approche détaillée</w:t>
      </w:r>
    </w:p>
    <w:p w14:paraId="7BA7E24F" w14:textId="77777777" w:rsidR="00974C73" w:rsidRPr="007263C1" w:rsidRDefault="00974C73" w:rsidP="00974C73">
      <w:pPr>
        <w:pStyle w:val="ListParagraph"/>
        <w:rPr>
          <w:lang w:val="fr-CA"/>
        </w:rPr>
      </w:pPr>
      <w:bookmarkStart w:id="15" w:name="lt_pId063"/>
      <w:r w:rsidRPr="007263C1">
        <w:rPr>
          <w:lang w:val="fr-CA"/>
        </w:rPr>
        <w:t>Douze groupes de discussion dans diverses régions du Canada.</w:t>
      </w:r>
      <w:bookmarkEnd w:id="15"/>
    </w:p>
    <w:p w14:paraId="72A1F2C6" w14:textId="77777777" w:rsidR="00974C73" w:rsidRPr="007263C1" w:rsidRDefault="00974C73" w:rsidP="00974C73">
      <w:pPr>
        <w:pStyle w:val="ListParagraph"/>
        <w:rPr>
          <w:lang w:val="fr-CA"/>
        </w:rPr>
      </w:pPr>
      <w:bookmarkStart w:id="16" w:name="lt_pId064"/>
      <w:r w:rsidRPr="007263C1">
        <w:rPr>
          <w:lang w:val="fr-CA"/>
        </w:rPr>
        <w:t xml:space="preserve">Emplacement des groupes représentatifs de la population générale : villes ontariennes de taille </w:t>
      </w:r>
      <w:proofErr w:type="gramStart"/>
      <w:r w:rsidRPr="007263C1">
        <w:rPr>
          <w:lang w:val="fr-CA"/>
        </w:rPr>
        <w:t>moyenne;</w:t>
      </w:r>
      <w:proofErr w:type="gramEnd"/>
      <w:r w:rsidRPr="007263C1">
        <w:rPr>
          <w:lang w:val="fr-CA"/>
        </w:rPr>
        <w:t xml:space="preserve"> nord des Prairies; Victoria/Nanaimo; grandes villes du Canada atlantique et du Québec rural.</w:t>
      </w:r>
      <w:bookmarkEnd w:id="16"/>
      <w:r w:rsidRPr="007263C1">
        <w:rPr>
          <w:lang w:val="fr-CA"/>
        </w:rPr>
        <w:t xml:space="preserve"> </w:t>
      </w:r>
    </w:p>
    <w:p w14:paraId="49EB7C5B" w14:textId="77777777" w:rsidR="00974C73" w:rsidRPr="007263C1" w:rsidRDefault="00974C73" w:rsidP="00974C73">
      <w:pPr>
        <w:pStyle w:val="ListParagraph"/>
        <w:rPr>
          <w:lang w:val="fr-CA"/>
        </w:rPr>
      </w:pPr>
      <w:bookmarkStart w:id="17" w:name="lt_pId065"/>
      <w:r w:rsidRPr="007263C1">
        <w:rPr>
          <w:lang w:val="fr-CA"/>
        </w:rPr>
        <w:t xml:space="preserve">Emplacement des sous-groupes : parents – Toronto/région du Grand Toronto (RGT) et </w:t>
      </w:r>
      <w:proofErr w:type="gramStart"/>
      <w:r w:rsidRPr="007263C1">
        <w:rPr>
          <w:lang w:val="fr-CA"/>
        </w:rPr>
        <w:t>Vancouver;</w:t>
      </w:r>
      <w:proofErr w:type="gramEnd"/>
      <w:r w:rsidRPr="007263C1">
        <w:rPr>
          <w:lang w:val="fr-CA"/>
        </w:rPr>
        <w:t xml:space="preserve"> aînés – Montréal et grandes villes de l’Ontario; bénéficiaires de la PCU – Alberta et Québec; nouveaux arrivants – Grande région de Montréal (GRM).</w:t>
      </w:r>
      <w:bookmarkEnd w:id="17"/>
      <w:r w:rsidRPr="007263C1">
        <w:rPr>
          <w:lang w:val="fr-CA"/>
        </w:rPr>
        <w:t xml:space="preserve"> </w:t>
      </w:r>
    </w:p>
    <w:p w14:paraId="6A0E9496" w14:textId="77777777" w:rsidR="00974C73" w:rsidRPr="007263C1" w:rsidRDefault="00974C73" w:rsidP="00974C73">
      <w:pPr>
        <w:pStyle w:val="ListParagraph"/>
        <w:rPr>
          <w:lang w:val="fr-CA"/>
        </w:rPr>
      </w:pPr>
      <w:bookmarkStart w:id="18" w:name="lt_pId066"/>
      <w:r w:rsidRPr="007263C1">
        <w:rPr>
          <w:lang w:val="fr-CA"/>
        </w:rPr>
        <w:t>Les discussions de groupe du Québec se sont déroulées en français, alors que toutes les autres ont eu lieu en anglais.</w:t>
      </w:r>
      <w:bookmarkEnd w:id="18"/>
    </w:p>
    <w:p w14:paraId="4C671D0D" w14:textId="77777777" w:rsidR="00974C73" w:rsidRPr="007263C1" w:rsidRDefault="00974C73" w:rsidP="00974C73">
      <w:pPr>
        <w:pStyle w:val="ListParagraph"/>
        <w:rPr>
          <w:lang w:val="fr-CA"/>
        </w:rPr>
      </w:pPr>
      <w:bookmarkStart w:id="19" w:name="lt_pId067"/>
      <w:r w:rsidRPr="007263C1">
        <w:rPr>
          <w:lang w:val="fr-CA"/>
        </w:rPr>
        <w:t>Pour ce cycle, toutes les rencontres ont eu lieu en ligne.</w:t>
      </w:r>
      <w:bookmarkEnd w:id="19"/>
    </w:p>
    <w:p w14:paraId="2AD25E68" w14:textId="77777777" w:rsidR="00974C73" w:rsidRPr="007263C1" w:rsidRDefault="00974C73" w:rsidP="00974C73">
      <w:pPr>
        <w:pStyle w:val="ListParagraph"/>
        <w:rPr>
          <w:lang w:val="fr-CA"/>
        </w:rPr>
      </w:pPr>
      <w:bookmarkStart w:id="20" w:name="lt_pId068"/>
      <w:r w:rsidRPr="007263C1">
        <w:rPr>
          <w:lang w:val="fr-CA"/>
        </w:rPr>
        <w:lastRenderedPageBreak/>
        <w:t>Huit participants ont été recrutés dans chaque groupe, afin de pouvoir compter sur la présence de six à huit personnes.</w:t>
      </w:r>
      <w:bookmarkEnd w:id="20"/>
    </w:p>
    <w:p w14:paraId="637C77B9" w14:textId="77777777" w:rsidR="00974C73" w:rsidRPr="007263C1" w:rsidRDefault="00974C73" w:rsidP="00974C73">
      <w:pPr>
        <w:pStyle w:val="ListParagraph"/>
        <w:rPr>
          <w:lang w:val="fr-CA"/>
        </w:rPr>
      </w:pPr>
      <w:bookmarkStart w:id="21" w:name="lt_pId070"/>
      <w:r w:rsidRPr="007263C1">
        <w:rPr>
          <w:lang w:val="fr-CA"/>
        </w:rPr>
        <w:t>Dans l’ensemble des lieux, 81 personnes ont participé aux discussions. Les détails sur le nombre de participants par groupe sont donnés ci-dessous</w:t>
      </w:r>
      <w:bookmarkEnd w:id="21"/>
      <w:r w:rsidRPr="007263C1">
        <w:rPr>
          <w:lang w:val="fr-CA"/>
        </w:rPr>
        <w:t>.</w:t>
      </w:r>
    </w:p>
    <w:p w14:paraId="3909DA09" w14:textId="77777777" w:rsidR="00974C73" w:rsidRPr="00623049" w:rsidRDefault="00974C73" w:rsidP="00974C73">
      <w:pPr>
        <w:pStyle w:val="ListParagraph"/>
        <w:rPr>
          <w:lang w:val="fr-CA"/>
        </w:rPr>
      </w:pPr>
      <w:r w:rsidRPr="007263C1">
        <w:rPr>
          <w:lang w:val="fr-CA"/>
        </w:rPr>
        <w:t>Chaque participant a perçu des honoraires de 90 $ pour son temps</w:t>
      </w:r>
      <w:r>
        <w:rPr>
          <w:lang w:val="fr-CA"/>
        </w:rPr>
        <w:t>.</w:t>
      </w:r>
    </w:p>
    <w:p w14:paraId="49FE5F57" w14:textId="77777777" w:rsidR="00974C73" w:rsidRDefault="00974C73" w:rsidP="00974C73">
      <w:pPr>
        <w:spacing w:line="256" w:lineRule="auto"/>
        <w:contextualSpacing/>
        <w:rPr>
          <w:b/>
          <w:lang w:val="fr-CA"/>
        </w:rPr>
      </w:pPr>
    </w:p>
    <w:p w14:paraId="3E9C5ECD" w14:textId="77777777" w:rsidR="00974C73" w:rsidRPr="00623049" w:rsidRDefault="00974C73" w:rsidP="00974C73">
      <w:pPr>
        <w:spacing w:line="256" w:lineRule="auto"/>
        <w:contextualSpacing/>
        <w:rPr>
          <w:b/>
          <w:lang w:val="fr-CA"/>
        </w:rPr>
      </w:pPr>
    </w:p>
    <w:p w14:paraId="0FEDC248" w14:textId="77777777" w:rsidR="00974C73" w:rsidRDefault="00974C73" w:rsidP="00974C73">
      <w:pPr>
        <w:spacing w:line="256" w:lineRule="auto"/>
        <w:contextualSpacing/>
        <w:rPr>
          <w:b/>
          <w:lang w:val="fr-CA"/>
        </w:rPr>
      </w:pPr>
      <w:r w:rsidRPr="00B83220">
        <w:rPr>
          <w:b/>
          <w:lang w:val="fr-CA"/>
        </w:rPr>
        <w:t>Emplacement et composition des groupes</w:t>
      </w:r>
    </w:p>
    <w:tbl>
      <w:tblPr>
        <w:tblStyle w:val="TableGrid22"/>
        <w:tblW w:w="9584" w:type="dxa"/>
        <w:tblLayout w:type="fixed"/>
        <w:tblLook w:val="04A0" w:firstRow="1" w:lastRow="0" w:firstColumn="1" w:lastColumn="0" w:noHBand="0" w:noVBand="1"/>
      </w:tblPr>
      <w:tblGrid>
        <w:gridCol w:w="1659"/>
        <w:gridCol w:w="955"/>
        <w:gridCol w:w="1078"/>
        <w:gridCol w:w="1079"/>
        <w:gridCol w:w="1540"/>
        <w:gridCol w:w="1838"/>
        <w:gridCol w:w="11"/>
        <w:gridCol w:w="1424"/>
      </w:tblGrid>
      <w:tr w:rsidR="00974C73" w:rsidRPr="007263C1" w14:paraId="722291D8" w14:textId="77777777" w:rsidTr="009206B1">
        <w:trPr>
          <w:trHeight w:val="281"/>
        </w:trPr>
        <w:tc>
          <w:tcPr>
            <w:tcW w:w="1659" w:type="dxa"/>
            <w:tcBorders>
              <w:top w:val="single" w:sz="4" w:space="0" w:color="E1E1E1"/>
              <w:left w:val="single" w:sz="4" w:space="0" w:color="E1E1E1"/>
              <w:bottom w:val="single" w:sz="4" w:space="0" w:color="E1E1E1"/>
              <w:right w:val="single" w:sz="4" w:space="0" w:color="E1E1E1"/>
            </w:tcBorders>
            <w:shd w:val="clear" w:color="auto" w:fill="F2F2F2"/>
            <w:vAlign w:val="center"/>
          </w:tcPr>
          <w:p w14:paraId="2F42F589" w14:textId="77777777" w:rsidR="00974C73" w:rsidRPr="007263C1" w:rsidRDefault="00974C73" w:rsidP="009206B1">
            <w:pPr>
              <w:jc w:val="center"/>
              <w:rPr>
                <w:rFonts w:ascii="Calibri" w:hAnsi="Calibri" w:cs="Calibri"/>
                <w:b/>
                <w:kern w:val="18"/>
                <w:sz w:val="18"/>
                <w:szCs w:val="18"/>
                <w:lang w:val="fr-CA"/>
              </w:rPr>
            </w:pPr>
            <w:r w:rsidRPr="007263C1">
              <w:rPr>
                <w:rFonts w:ascii="Calibri" w:eastAsia="Calibri" w:hAnsi="Calibri" w:cs="Calibri"/>
                <w:b/>
                <w:kern w:val="18"/>
                <w:sz w:val="18"/>
                <w:szCs w:val="18"/>
                <w:lang w:val="fr-CA"/>
              </w:rPr>
              <w:t>LIEU</w:t>
            </w:r>
          </w:p>
        </w:tc>
        <w:tc>
          <w:tcPr>
            <w:tcW w:w="955" w:type="dxa"/>
            <w:tcBorders>
              <w:top w:val="single" w:sz="4" w:space="0" w:color="E1E1E1"/>
              <w:left w:val="single" w:sz="4" w:space="0" w:color="E1E1E1"/>
              <w:bottom w:val="single" w:sz="4" w:space="0" w:color="E1E1E1"/>
              <w:right w:val="single" w:sz="4" w:space="0" w:color="E1E1E1"/>
            </w:tcBorders>
            <w:shd w:val="clear" w:color="auto" w:fill="F2F2F2"/>
            <w:vAlign w:val="center"/>
          </w:tcPr>
          <w:p w14:paraId="36D25725" w14:textId="77777777" w:rsidR="00974C73" w:rsidRPr="007263C1" w:rsidRDefault="00974C73" w:rsidP="009206B1">
            <w:pPr>
              <w:jc w:val="center"/>
              <w:rPr>
                <w:rFonts w:ascii="Calibri" w:hAnsi="Calibri" w:cs="Calibri"/>
                <w:b/>
                <w:kern w:val="18"/>
                <w:sz w:val="18"/>
                <w:szCs w:val="18"/>
                <w:lang w:val="fr-CA"/>
              </w:rPr>
            </w:pPr>
            <w:r w:rsidRPr="007263C1">
              <w:rPr>
                <w:rFonts w:ascii="Calibri" w:eastAsia="Calibri" w:hAnsi="Calibri" w:cs="Calibri"/>
                <w:b/>
                <w:kern w:val="18"/>
                <w:sz w:val="18"/>
                <w:szCs w:val="18"/>
                <w:lang w:val="fr-CA"/>
              </w:rPr>
              <w:t>GROUPE</w:t>
            </w:r>
          </w:p>
        </w:tc>
        <w:tc>
          <w:tcPr>
            <w:tcW w:w="1078" w:type="dxa"/>
            <w:tcBorders>
              <w:top w:val="single" w:sz="4" w:space="0" w:color="E1E1E1"/>
              <w:left w:val="single" w:sz="4" w:space="0" w:color="E1E1E1"/>
              <w:bottom w:val="single" w:sz="4" w:space="0" w:color="E1E1E1"/>
              <w:right w:val="single" w:sz="4" w:space="0" w:color="E1E1E1"/>
            </w:tcBorders>
            <w:shd w:val="clear" w:color="auto" w:fill="F2F2F2"/>
            <w:vAlign w:val="center"/>
          </w:tcPr>
          <w:p w14:paraId="3E660022" w14:textId="77777777" w:rsidR="00974C73" w:rsidRPr="007263C1" w:rsidRDefault="00974C73" w:rsidP="009206B1">
            <w:pPr>
              <w:jc w:val="center"/>
              <w:rPr>
                <w:rFonts w:ascii="Calibri" w:hAnsi="Calibri" w:cs="Calibri"/>
                <w:b/>
                <w:kern w:val="18"/>
                <w:sz w:val="18"/>
                <w:szCs w:val="18"/>
                <w:lang w:val="fr-CA"/>
              </w:rPr>
            </w:pPr>
            <w:r w:rsidRPr="007263C1">
              <w:rPr>
                <w:rFonts w:ascii="Calibri" w:eastAsia="Calibri" w:hAnsi="Calibri" w:cs="Calibri"/>
                <w:b/>
                <w:kern w:val="18"/>
                <w:sz w:val="18"/>
                <w:szCs w:val="18"/>
                <w:lang w:val="fr-CA"/>
              </w:rPr>
              <w:t>LANGUE</w:t>
            </w:r>
          </w:p>
        </w:tc>
        <w:tc>
          <w:tcPr>
            <w:tcW w:w="1079" w:type="dxa"/>
            <w:tcBorders>
              <w:top w:val="single" w:sz="4" w:space="0" w:color="E1E1E1"/>
              <w:left w:val="single" w:sz="4" w:space="0" w:color="E1E1E1"/>
              <w:bottom w:val="single" w:sz="4" w:space="0" w:color="E1E1E1"/>
              <w:right w:val="single" w:sz="4" w:space="0" w:color="E1E1E1"/>
            </w:tcBorders>
            <w:shd w:val="clear" w:color="auto" w:fill="F2F2F2"/>
            <w:vAlign w:val="center"/>
          </w:tcPr>
          <w:p w14:paraId="6A1FDC16" w14:textId="77777777" w:rsidR="00974C73" w:rsidRPr="007263C1" w:rsidRDefault="00974C73" w:rsidP="009206B1">
            <w:pPr>
              <w:jc w:val="center"/>
              <w:rPr>
                <w:rFonts w:ascii="Calibri" w:hAnsi="Calibri" w:cs="Calibri"/>
                <w:b/>
                <w:kern w:val="18"/>
                <w:sz w:val="18"/>
                <w:szCs w:val="18"/>
                <w:lang w:val="fr-CA"/>
              </w:rPr>
            </w:pPr>
            <w:r w:rsidRPr="007263C1">
              <w:rPr>
                <w:rFonts w:ascii="Calibri" w:eastAsia="Calibri" w:hAnsi="Calibri" w:cs="Calibri"/>
                <w:b/>
                <w:kern w:val="18"/>
                <w:sz w:val="18"/>
                <w:szCs w:val="18"/>
                <w:lang w:val="fr-CA"/>
              </w:rPr>
              <w:t>DATE</w:t>
            </w:r>
          </w:p>
        </w:tc>
        <w:tc>
          <w:tcPr>
            <w:tcW w:w="1540" w:type="dxa"/>
            <w:tcBorders>
              <w:top w:val="single" w:sz="4" w:space="0" w:color="E1E1E1"/>
              <w:left w:val="single" w:sz="4" w:space="0" w:color="E1E1E1"/>
              <w:bottom w:val="single" w:sz="4" w:space="0" w:color="E1E1E1"/>
              <w:right w:val="single" w:sz="4" w:space="0" w:color="E1E1E1"/>
            </w:tcBorders>
            <w:shd w:val="clear" w:color="auto" w:fill="F2F2F2"/>
            <w:vAlign w:val="center"/>
          </w:tcPr>
          <w:p w14:paraId="634B199F" w14:textId="77777777" w:rsidR="00974C73" w:rsidRPr="007263C1" w:rsidRDefault="00974C73" w:rsidP="009206B1">
            <w:pPr>
              <w:jc w:val="center"/>
              <w:rPr>
                <w:rFonts w:ascii="Calibri" w:hAnsi="Calibri" w:cs="Calibri"/>
                <w:b/>
                <w:kern w:val="18"/>
                <w:sz w:val="18"/>
                <w:szCs w:val="18"/>
                <w:lang w:val="fr-CA"/>
              </w:rPr>
            </w:pPr>
            <w:r w:rsidRPr="007263C1">
              <w:rPr>
                <w:rFonts w:ascii="Calibri" w:eastAsia="Calibri" w:hAnsi="Calibri" w:cs="Calibri"/>
                <w:b/>
                <w:kern w:val="18"/>
                <w:sz w:val="18"/>
                <w:szCs w:val="18"/>
                <w:lang w:val="fr-CA"/>
              </w:rPr>
              <w:t>HEURE (HNE)</w:t>
            </w:r>
          </w:p>
        </w:tc>
        <w:tc>
          <w:tcPr>
            <w:tcW w:w="1849" w:type="dxa"/>
            <w:gridSpan w:val="2"/>
            <w:tcBorders>
              <w:top w:val="single" w:sz="4" w:space="0" w:color="E1E1E1"/>
              <w:left w:val="single" w:sz="4" w:space="0" w:color="E1E1E1"/>
              <w:bottom w:val="single" w:sz="4" w:space="0" w:color="E1E1E1"/>
              <w:right w:val="single" w:sz="4" w:space="0" w:color="E1E1E1"/>
            </w:tcBorders>
            <w:shd w:val="clear" w:color="auto" w:fill="F2F2F2"/>
            <w:vAlign w:val="center"/>
          </w:tcPr>
          <w:p w14:paraId="5322DC9A" w14:textId="77777777" w:rsidR="00974C73" w:rsidRPr="007263C1" w:rsidRDefault="00974C73" w:rsidP="009206B1">
            <w:pPr>
              <w:jc w:val="center"/>
              <w:rPr>
                <w:rFonts w:ascii="Calibri" w:hAnsi="Calibri" w:cs="Calibri"/>
                <w:b/>
                <w:kern w:val="18"/>
                <w:sz w:val="18"/>
                <w:szCs w:val="18"/>
                <w:lang w:val="fr-CA"/>
              </w:rPr>
            </w:pPr>
            <w:r w:rsidRPr="007263C1">
              <w:rPr>
                <w:rFonts w:ascii="Calibri" w:eastAsia="Calibri" w:hAnsi="Calibri" w:cs="Calibri"/>
                <w:b/>
                <w:kern w:val="18"/>
                <w:sz w:val="18"/>
                <w:szCs w:val="18"/>
                <w:lang w:val="fr-CA"/>
              </w:rPr>
              <w:t>COMPOSITION DU GROUPE</w:t>
            </w:r>
          </w:p>
        </w:tc>
        <w:tc>
          <w:tcPr>
            <w:tcW w:w="1421" w:type="dxa"/>
            <w:tcBorders>
              <w:top w:val="single" w:sz="4" w:space="0" w:color="E1E1E1"/>
              <w:left w:val="single" w:sz="4" w:space="0" w:color="E1E1E1"/>
              <w:bottom w:val="single" w:sz="4" w:space="0" w:color="E1E1E1"/>
              <w:right w:val="single" w:sz="4" w:space="0" w:color="E1E1E1"/>
            </w:tcBorders>
            <w:shd w:val="clear" w:color="auto" w:fill="F2F2F2"/>
            <w:vAlign w:val="center"/>
          </w:tcPr>
          <w:p w14:paraId="7B75D2BD" w14:textId="77777777" w:rsidR="00974C73" w:rsidRPr="007263C1" w:rsidRDefault="00974C73" w:rsidP="009206B1">
            <w:pPr>
              <w:jc w:val="center"/>
              <w:rPr>
                <w:rFonts w:ascii="Calibri" w:hAnsi="Calibri" w:cs="Calibri"/>
                <w:b/>
                <w:kern w:val="18"/>
                <w:sz w:val="18"/>
                <w:szCs w:val="18"/>
                <w:lang w:val="fr-CA"/>
              </w:rPr>
            </w:pPr>
            <w:r w:rsidRPr="007263C1">
              <w:rPr>
                <w:rFonts w:ascii="Calibri" w:eastAsia="Calibri" w:hAnsi="Calibri" w:cs="Calibri"/>
                <w:b/>
                <w:kern w:val="18"/>
                <w:sz w:val="18"/>
                <w:szCs w:val="18"/>
                <w:lang w:val="fr-CA"/>
              </w:rPr>
              <w:t>NOMBRE DE PARTICIPANTS</w:t>
            </w:r>
          </w:p>
        </w:tc>
      </w:tr>
      <w:tr w:rsidR="00974C73" w:rsidRPr="007263C1" w14:paraId="33BBAF4A" w14:textId="77777777" w:rsidTr="009206B1">
        <w:trPr>
          <w:trHeight w:val="290"/>
        </w:trPr>
        <w:tc>
          <w:tcPr>
            <w:tcW w:w="1659" w:type="dxa"/>
            <w:tcBorders>
              <w:top w:val="single" w:sz="4" w:space="0" w:color="E1E1E1"/>
              <w:left w:val="single" w:sz="4" w:space="0" w:color="E1E1E1"/>
              <w:bottom w:val="single" w:sz="4" w:space="0" w:color="E1E1E1"/>
              <w:right w:val="single" w:sz="4" w:space="0" w:color="E1E1E1"/>
            </w:tcBorders>
            <w:vAlign w:val="center"/>
          </w:tcPr>
          <w:p w14:paraId="33420EF8" w14:textId="5D135DBB" w:rsidR="00974C73" w:rsidRPr="007263C1" w:rsidRDefault="00974C73" w:rsidP="009206B1">
            <w:pPr>
              <w:jc w:val="center"/>
              <w:rPr>
                <w:rFonts w:asciiTheme="minorHAnsi" w:hAnsiTheme="minorHAnsi" w:cstheme="minorHAnsi"/>
                <w:kern w:val="18"/>
                <w:sz w:val="18"/>
                <w:szCs w:val="18"/>
                <w:lang w:val="fr-CA"/>
              </w:rPr>
            </w:pPr>
            <w:bookmarkStart w:id="22" w:name="lt_pId080"/>
            <w:r w:rsidRPr="007263C1">
              <w:rPr>
                <w:rFonts w:asciiTheme="minorHAnsi" w:hAnsiTheme="minorHAnsi" w:cstheme="minorHAnsi"/>
                <w:kern w:val="18"/>
                <w:sz w:val="18"/>
                <w:szCs w:val="18"/>
                <w:lang w:val="fr-CA"/>
              </w:rPr>
              <w:t>Toronto/RGT 905</w:t>
            </w:r>
            <w:bookmarkEnd w:id="22"/>
          </w:p>
        </w:tc>
        <w:tc>
          <w:tcPr>
            <w:tcW w:w="955" w:type="dxa"/>
            <w:tcBorders>
              <w:top w:val="single" w:sz="4" w:space="0" w:color="E1E1E1"/>
              <w:left w:val="single" w:sz="4" w:space="0" w:color="E1E1E1"/>
              <w:bottom w:val="single" w:sz="4" w:space="0" w:color="E1E1E1"/>
              <w:right w:val="single" w:sz="4" w:space="0" w:color="E1E1E1"/>
            </w:tcBorders>
            <w:vAlign w:val="center"/>
          </w:tcPr>
          <w:p w14:paraId="0845118B" w14:textId="77777777" w:rsidR="00974C73" w:rsidRPr="007263C1" w:rsidRDefault="00974C73" w:rsidP="009206B1">
            <w:pPr>
              <w:jc w:val="center"/>
              <w:rPr>
                <w:rFonts w:asciiTheme="minorHAnsi" w:hAnsiTheme="minorHAnsi" w:cstheme="minorHAnsi"/>
                <w:kern w:val="18"/>
                <w:sz w:val="18"/>
                <w:szCs w:val="18"/>
                <w:lang w:val="fr-CA"/>
              </w:rPr>
            </w:pPr>
            <w:r w:rsidRPr="007263C1">
              <w:rPr>
                <w:rFonts w:asciiTheme="minorHAnsi" w:hAnsiTheme="minorHAnsi" w:cstheme="minorHAnsi"/>
                <w:kern w:val="18"/>
                <w:sz w:val="18"/>
                <w:szCs w:val="18"/>
                <w:lang w:val="fr-CA"/>
              </w:rPr>
              <w:t>1</w:t>
            </w:r>
          </w:p>
        </w:tc>
        <w:tc>
          <w:tcPr>
            <w:tcW w:w="1078" w:type="dxa"/>
            <w:tcBorders>
              <w:top w:val="single" w:sz="4" w:space="0" w:color="E1E1E1"/>
              <w:left w:val="single" w:sz="4" w:space="0" w:color="E1E1E1"/>
              <w:bottom w:val="single" w:sz="4" w:space="0" w:color="E1E1E1"/>
              <w:right w:val="single" w:sz="4" w:space="0" w:color="E1E1E1"/>
            </w:tcBorders>
            <w:vAlign w:val="center"/>
          </w:tcPr>
          <w:p w14:paraId="5CBEC5FB" w14:textId="77777777" w:rsidR="00974C73" w:rsidRPr="007263C1" w:rsidRDefault="00974C73" w:rsidP="009206B1">
            <w:pPr>
              <w:jc w:val="center"/>
              <w:rPr>
                <w:rFonts w:asciiTheme="minorHAnsi" w:hAnsiTheme="minorHAnsi" w:cstheme="minorHAnsi"/>
                <w:kern w:val="18"/>
                <w:sz w:val="18"/>
                <w:szCs w:val="18"/>
                <w:lang w:val="fr-CA"/>
              </w:rPr>
            </w:pPr>
            <w:r w:rsidRPr="007263C1">
              <w:rPr>
                <w:rFonts w:asciiTheme="minorHAnsi" w:eastAsia="Calibri" w:hAnsiTheme="minorHAnsi" w:cstheme="minorHAnsi"/>
                <w:kern w:val="18"/>
                <w:sz w:val="18"/>
                <w:szCs w:val="18"/>
                <w:lang w:val="fr-CA"/>
              </w:rPr>
              <w:t>Anglais</w:t>
            </w:r>
          </w:p>
        </w:tc>
        <w:tc>
          <w:tcPr>
            <w:tcW w:w="1079" w:type="dxa"/>
            <w:tcBorders>
              <w:top w:val="single" w:sz="4" w:space="0" w:color="E1E1E1"/>
              <w:left w:val="single" w:sz="4" w:space="0" w:color="E1E1E1"/>
              <w:bottom w:val="single" w:sz="4" w:space="0" w:color="E1E1E1"/>
              <w:right w:val="single" w:sz="4" w:space="0" w:color="E1E1E1"/>
            </w:tcBorders>
            <w:vAlign w:val="center"/>
          </w:tcPr>
          <w:p w14:paraId="1DBE08C6" w14:textId="77777777" w:rsidR="00974C73" w:rsidRPr="007263C1" w:rsidRDefault="00974C73" w:rsidP="009206B1">
            <w:pPr>
              <w:jc w:val="center"/>
              <w:rPr>
                <w:rFonts w:asciiTheme="minorHAnsi" w:hAnsiTheme="minorHAnsi" w:cstheme="minorHAnsi"/>
                <w:kern w:val="18"/>
                <w:sz w:val="18"/>
                <w:szCs w:val="18"/>
                <w:lang w:val="fr-CA"/>
              </w:rPr>
            </w:pPr>
            <w:bookmarkStart w:id="23" w:name="lt_pId083"/>
            <w:r w:rsidRPr="007263C1">
              <w:rPr>
                <w:rFonts w:asciiTheme="minorHAnsi" w:hAnsiTheme="minorHAnsi" w:cstheme="minorHAnsi"/>
                <w:kern w:val="18"/>
                <w:sz w:val="18"/>
                <w:szCs w:val="18"/>
                <w:lang w:val="fr-CA"/>
              </w:rPr>
              <w:t>2 juin</w:t>
            </w:r>
            <w:bookmarkEnd w:id="23"/>
          </w:p>
        </w:tc>
        <w:tc>
          <w:tcPr>
            <w:tcW w:w="1540" w:type="dxa"/>
            <w:tcBorders>
              <w:top w:val="single" w:sz="4" w:space="0" w:color="E1E1E1"/>
              <w:left w:val="single" w:sz="4" w:space="0" w:color="E1E1E1"/>
              <w:bottom w:val="single" w:sz="4" w:space="0" w:color="E1E1E1"/>
              <w:right w:val="single" w:sz="4" w:space="0" w:color="E1E1E1"/>
            </w:tcBorders>
            <w:vAlign w:val="center"/>
          </w:tcPr>
          <w:p w14:paraId="1E635E90" w14:textId="77777777" w:rsidR="00974C73" w:rsidRPr="007263C1" w:rsidRDefault="00974C73" w:rsidP="009206B1">
            <w:pPr>
              <w:jc w:val="center"/>
              <w:rPr>
                <w:rFonts w:asciiTheme="minorHAnsi" w:hAnsiTheme="minorHAnsi" w:cstheme="minorHAnsi"/>
                <w:kern w:val="18"/>
                <w:sz w:val="18"/>
                <w:szCs w:val="18"/>
                <w:lang w:val="fr-CA"/>
              </w:rPr>
            </w:pPr>
            <w:r w:rsidRPr="007263C1">
              <w:rPr>
                <w:rFonts w:asciiTheme="minorHAnsi" w:hAnsiTheme="minorHAnsi" w:cstheme="minorHAnsi"/>
                <w:kern w:val="18"/>
                <w:sz w:val="18"/>
                <w:szCs w:val="18"/>
                <w:lang w:val="fr-CA"/>
              </w:rPr>
              <w:t>18 h-20 h</w:t>
            </w:r>
          </w:p>
        </w:tc>
        <w:tc>
          <w:tcPr>
            <w:tcW w:w="1849" w:type="dxa"/>
            <w:gridSpan w:val="2"/>
            <w:tcBorders>
              <w:top w:val="single" w:sz="4" w:space="0" w:color="E1E1E1"/>
              <w:left w:val="single" w:sz="4" w:space="0" w:color="E1E1E1"/>
              <w:bottom w:val="single" w:sz="4" w:space="0" w:color="E1E1E1"/>
              <w:right w:val="single" w:sz="4" w:space="0" w:color="E1E1E1"/>
            </w:tcBorders>
            <w:vAlign w:val="center"/>
          </w:tcPr>
          <w:p w14:paraId="652F6A7D" w14:textId="77777777" w:rsidR="00974C73" w:rsidRPr="007263C1" w:rsidRDefault="00974C73" w:rsidP="009206B1">
            <w:pPr>
              <w:jc w:val="center"/>
              <w:rPr>
                <w:rFonts w:asciiTheme="minorHAnsi" w:hAnsiTheme="minorHAnsi" w:cstheme="minorHAnsi"/>
                <w:kern w:val="18"/>
                <w:sz w:val="18"/>
                <w:szCs w:val="18"/>
                <w:lang w:val="fr-CA"/>
              </w:rPr>
            </w:pPr>
            <w:bookmarkStart w:id="24" w:name="lt_pId085"/>
            <w:r w:rsidRPr="007263C1">
              <w:rPr>
                <w:rFonts w:asciiTheme="minorHAnsi" w:hAnsiTheme="minorHAnsi" w:cstheme="minorHAnsi"/>
                <w:kern w:val="18"/>
                <w:sz w:val="18"/>
                <w:szCs w:val="18"/>
                <w:lang w:val="fr-CA"/>
              </w:rPr>
              <w:t>Parents (7</w:t>
            </w:r>
            <w:r w:rsidRPr="007263C1">
              <w:rPr>
                <w:rFonts w:asciiTheme="minorHAnsi" w:hAnsiTheme="minorHAnsi" w:cstheme="minorHAnsi"/>
                <w:kern w:val="18"/>
                <w:sz w:val="18"/>
                <w:szCs w:val="18"/>
                <w:vertAlign w:val="superscript"/>
                <w:lang w:val="fr-CA"/>
              </w:rPr>
              <w:t>e</w:t>
            </w:r>
            <w:r w:rsidRPr="007263C1">
              <w:rPr>
                <w:rFonts w:asciiTheme="minorHAnsi" w:hAnsiTheme="minorHAnsi" w:cstheme="minorHAnsi"/>
                <w:kern w:val="18"/>
                <w:sz w:val="18"/>
                <w:szCs w:val="18"/>
                <w:lang w:val="fr-CA"/>
              </w:rPr>
              <w:t xml:space="preserve"> année ou plus)</w:t>
            </w:r>
            <w:bookmarkEnd w:id="24"/>
          </w:p>
        </w:tc>
        <w:tc>
          <w:tcPr>
            <w:tcW w:w="1421" w:type="dxa"/>
            <w:tcBorders>
              <w:top w:val="single" w:sz="4" w:space="0" w:color="E1E1E1"/>
              <w:left w:val="single" w:sz="4" w:space="0" w:color="E1E1E1"/>
              <w:bottom w:val="single" w:sz="4" w:space="0" w:color="E1E1E1"/>
              <w:right w:val="single" w:sz="4" w:space="0" w:color="E1E1E1"/>
            </w:tcBorders>
            <w:vAlign w:val="center"/>
          </w:tcPr>
          <w:p w14:paraId="671535BE" w14:textId="77777777" w:rsidR="00974C73" w:rsidRPr="007263C1" w:rsidRDefault="00974C73" w:rsidP="009206B1">
            <w:pPr>
              <w:jc w:val="center"/>
              <w:rPr>
                <w:rFonts w:asciiTheme="minorHAnsi" w:hAnsiTheme="minorHAnsi" w:cstheme="minorHAnsi"/>
                <w:kern w:val="18"/>
                <w:sz w:val="18"/>
                <w:szCs w:val="18"/>
                <w:lang w:val="fr-CA"/>
              </w:rPr>
            </w:pPr>
            <w:r w:rsidRPr="007263C1">
              <w:rPr>
                <w:rFonts w:asciiTheme="minorHAnsi" w:hAnsiTheme="minorHAnsi" w:cstheme="minorHAnsi"/>
                <w:kern w:val="18"/>
                <w:sz w:val="18"/>
                <w:szCs w:val="18"/>
                <w:lang w:val="fr-CA"/>
              </w:rPr>
              <w:t>8</w:t>
            </w:r>
          </w:p>
        </w:tc>
      </w:tr>
      <w:tr w:rsidR="00974C73" w:rsidRPr="007263C1" w14:paraId="3B6AC46B" w14:textId="77777777" w:rsidTr="009206B1">
        <w:trPr>
          <w:trHeight w:val="290"/>
        </w:trPr>
        <w:tc>
          <w:tcPr>
            <w:tcW w:w="1659" w:type="dxa"/>
            <w:tcBorders>
              <w:top w:val="single" w:sz="4" w:space="0" w:color="E1E1E1"/>
              <w:left w:val="single" w:sz="4" w:space="0" w:color="E1E1E1"/>
              <w:bottom w:val="single" w:sz="4" w:space="0" w:color="E1E1E1"/>
              <w:right w:val="single" w:sz="4" w:space="0" w:color="E1E1E1"/>
            </w:tcBorders>
            <w:vAlign w:val="center"/>
          </w:tcPr>
          <w:p w14:paraId="424067A0" w14:textId="5A4EFDF9" w:rsidR="00974C73" w:rsidRPr="007263C1" w:rsidRDefault="00974C73" w:rsidP="009206B1">
            <w:pPr>
              <w:jc w:val="center"/>
              <w:rPr>
                <w:rFonts w:asciiTheme="minorHAnsi" w:hAnsiTheme="minorHAnsi" w:cstheme="minorHAnsi"/>
                <w:kern w:val="18"/>
                <w:sz w:val="18"/>
                <w:szCs w:val="18"/>
                <w:lang w:val="fr-CA"/>
              </w:rPr>
            </w:pPr>
            <w:bookmarkStart w:id="25" w:name="lt_pId087"/>
            <w:r w:rsidRPr="007263C1">
              <w:rPr>
                <w:rFonts w:asciiTheme="minorHAnsi" w:hAnsiTheme="minorHAnsi" w:cstheme="minorHAnsi"/>
                <w:kern w:val="18"/>
                <w:sz w:val="18"/>
                <w:szCs w:val="18"/>
                <w:lang w:val="fr-CA"/>
              </w:rPr>
              <w:t>Alberta</w:t>
            </w:r>
            <w:bookmarkEnd w:id="25"/>
          </w:p>
        </w:tc>
        <w:tc>
          <w:tcPr>
            <w:tcW w:w="955" w:type="dxa"/>
            <w:tcBorders>
              <w:top w:val="single" w:sz="4" w:space="0" w:color="E1E1E1"/>
              <w:left w:val="single" w:sz="4" w:space="0" w:color="E1E1E1"/>
              <w:bottom w:val="single" w:sz="4" w:space="0" w:color="E1E1E1"/>
              <w:right w:val="single" w:sz="4" w:space="0" w:color="E1E1E1"/>
            </w:tcBorders>
            <w:vAlign w:val="center"/>
          </w:tcPr>
          <w:p w14:paraId="3BD43260" w14:textId="77777777" w:rsidR="00974C73" w:rsidRPr="007263C1" w:rsidRDefault="00974C73" w:rsidP="009206B1">
            <w:pPr>
              <w:jc w:val="center"/>
              <w:rPr>
                <w:rFonts w:asciiTheme="minorHAnsi" w:hAnsiTheme="minorHAnsi" w:cstheme="minorHAnsi"/>
                <w:kern w:val="18"/>
                <w:sz w:val="18"/>
                <w:szCs w:val="18"/>
                <w:lang w:val="fr-CA"/>
              </w:rPr>
            </w:pPr>
            <w:r w:rsidRPr="007263C1">
              <w:rPr>
                <w:rFonts w:asciiTheme="minorHAnsi" w:hAnsiTheme="minorHAnsi" w:cstheme="minorHAnsi"/>
                <w:kern w:val="18"/>
                <w:sz w:val="18"/>
                <w:szCs w:val="18"/>
                <w:lang w:val="fr-CA"/>
              </w:rPr>
              <w:t>2</w:t>
            </w:r>
          </w:p>
        </w:tc>
        <w:tc>
          <w:tcPr>
            <w:tcW w:w="1078" w:type="dxa"/>
            <w:tcBorders>
              <w:top w:val="single" w:sz="4" w:space="0" w:color="E1E1E1"/>
              <w:left w:val="single" w:sz="4" w:space="0" w:color="E1E1E1"/>
              <w:bottom w:val="single" w:sz="4" w:space="0" w:color="E1E1E1"/>
              <w:right w:val="single" w:sz="4" w:space="0" w:color="E1E1E1"/>
            </w:tcBorders>
            <w:vAlign w:val="center"/>
          </w:tcPr>
          <w:p w14:paraId="569D7121" w14:textId="77777777" w:rsidR="00974C73" w:rsidRPr="007263C1" w:rsidRDefault="00974C73" w:rsidP="009206B1">
            <w:pPr>
              <w:jc w:val="center"/>
              <w:rPr>
                <w:rFonts w:asciiTheme="minorHAnsi" w:hAnsiTheme="minorHAnsi" w:cstheme="minorHAnsi"/>
                <w:kern w:val="18"/>
                <w:sz w:val="18"/>
                <w:szCs w:val="18"/>
                <w:lang w:val="fr-CA"/>
              </w:rPr>
            </w:pPr>
            <w:r w:rsidRPr="007263C1">
              <w:rPr>
                <w:rFonts w:asciiTheme="minorHAnsi" w:eastAsia="Calibri" w:hAnsiTheme="minorHAnsi" w:cstheme="minorHAnsi"/>
                <w:kern w:val="18"/>
                <w:sz w:val="18"/>
                <w:szCs w:val="18"/>
                <w:lang w:val="fr-CA"/>
              </w:rPr>
              <w:t>Anglais</w:t>
            </w:r>
          </w:p>
        </w:tc>
        <w:tc>
          <w:tcPr>
            <w:tcW w:w="1079" w:type="dxa"/>
            <w:tcBorders>
              <w:top w:val="single" w:sz="4" w:space="0" w:color="E1E1E1"/>
              <w:left w:val="single" w:sz="4" w:space="0" w:color="E1E1E1"/>
              <w:bottom w:val="single" w:sz="4" w:space="0" w:color="E1E1E1"/>
              <w:right w:val="single" w:sz="4" w:space="0" w:color="E1E1E1"/>
            </w:tcBorders>
            <w:vAlign w:val="center"/>
          </w:tcPr>
          <w:p w14:paraId="7109DA2C" w14:textId="77777777" w:rsidR="00974C73" w:rsidRPr="007263C1" w:rsidRDefault="00974C73" w:rsidP="009206B1">
            <w:pPr>
              <w:jc w:val="center"/>
              <w:rPr>
                <w:rFonts w:asciiTheme="minorHAnsi" w:hAnsiTheme="minorHAnsi" w:cstheme="minorHAnsi"/>
                <w:kern w:val="18"/>
                <w:sz w:val="18"/>
                <w:szCs w:val="18"/>
                <w:lang w:val="fr-CA"/>
              </w:rPr>
            </w:pPr>
            <w:bookmarkStart w:id="26" w:name="lt_pId090"/>
            <w:r w:rsidRPr="007263C1">
              <w:rPr>
                <w:rFonts w:asciiTheme="minorHAnsi" w:hAnsiTheme="minorHAnsi" w:cstheme="minorHAnsi"/>
                <w:kern w:val="18"/>
                <w:sz w:val="18"/>
                <w:szCs w:val="18"/>
                <w:lang w:val="fr-CA"/>
              </w:rPr>
              <w:t>3</w:t>
            </w:r>
            <w:bookmarkEnd w:id="26"/>
            <w:r w:rsidRPr="007263C1">
              <w:rPr>
                <w:rFonts w:asciiTheme="minorHAnsi" w:hAnsiTheme="minorHAnsi" w:cstheme="minorHAnsi"/>
                <w:kern w:val="18"/>
                <w:sz w:val="18"/>
                <w:szCs w:val="18"/>
                <w:lang w:val="fr-CA"/>
              </w:rPr>
              <w:t> juin</w:t>
            </w:r>
          </w:p>
        </w:tc>
        <w:tc>
          <w:tcPr>
            <w:tcW w:w="1540" w:type="dxa"/>
            <w:tcBorders>
              <w:top w:val="single" w:sz="4" w:space="0" w:color="E1E1E1"/>
              <w:left w:val="single" w:sz="4" w:space="0" w:color="E1E1E1"/>
              <w:bottom w:val="single" w:sz="4" w:space="0" w:color="E1E1E1"/>
              <w:right w:val="single" w:sz="4" w:space="0" w:color="E1E1E1"/>
            </w:tcBorders>
            <w:vAlign w:val="center"/>
          </w:tcPr>
          <w:p w14:paraId="2203CC5D" w14:textId="77777777" w:rsidR="00974C73" w:rsidRPr="007263C1" w:rsidRDefault="00974C73" w:rsidP="009206B1">
            <w:pPr>
              <w:jc w:val="center"/>
              <w:rPr>
                <w:rFonts w:asciiTheme="minorHAnsi" w:hAnsiTheme="minorHAnsi" w:cstheme="minorHAnsi"/>
                <w:kern w:val="18"/>
                <w:sz w:val="18"/>
                <w:szCs w:val="18"/>
                <w:lang w:val="fr-CA"/>
              </w:rPr>
            </w:pPr>
            <w:r w:rsidRPr="007263C1">
              <w:rPr>
                <w:rFonts w:asciiTheme="minorHAnsi" w:eastAsia="Calibri" w:hAnsiTheme="minorHAnsi" w:cstheme="minorHAnsi"/>
                <w:kern w:val="18"/>
                <w:sz w:val="18"/>
                <w:szCs w:val="18"/>
                <w:lang w:val="fr-CA"/>
              </w:rPr>
              <w:t>19 h-21 h</w:t>
            </w:r>
          </w:p>
        </w:tc>
        <w:tc>
          <w:tcPr>
            <w:tcW w:w="1849" w:type="dxa"/>
            <w:gridSpan w:val="2"/>
            <w:tcBorders>
              <w:top w:val="single" w:sz="4" w:space="0" w:color="E1E1E1"/>
              <w:left w:val="single" w:sz="4" w:space="0" w:color="E1E1E1"/>
              <w:bottom w:val="single" w:sz="4" w:space="0" w:color="E1E1E1"/>
              <w:right w:val="single" w:sz="4" w:space="0" w:color="E1E1E1"/>
            </w:tcBorders>
            <w:vAlign w:val="center"/>
          </w:tcPr>
          <w:p w14:paraId="06C3C15D" w14:textId="77777777" w:rsidR="00974C73" w:rsidRPr="007263C1" w:rsidRDefault="00974C73" w:rsidP="009206B1">
            <w:pPr>
              <w:jc w:val="center"/>
              <w:rPr>
                <w:rFonts w:asciiTheme="minorHAnsi" w:hAnsiTheme="minorHAnsi" w:cstheme="minorHAnsi"/>
                <w:kern w:val="18"/>
                <w:sz w:val="18"/>
                <w:szCs w:val="18"/>
                <w:lang w:val="fr-CA"/>
              </w:rPr>
            </w:pPr>
            <w:bookmarkStart w:id="27" w:name="lt_pId092"/>
            <w:r w:rsidRPr="007263C1">
              <w:rPr>
                <w:rFonts w:asciiTheme="minorHAnsi" w:hAnsiTheme="minorHAnsi" w:cstheme="minorHAnsi"/>
                <w:kern w:val="18"/>
                <w:sz w:val="18"/>
                <w:szCs w:val="18"/>
                <w:lang w:val="fr-CA"/>
              </w:rPr>
              <w:t>Bénéficiaires de la PCU</w:t>
            </w:r>
            <w:bookmarkEnd w:id="27"/>
          </w:p>
        </w:tc>
        <w:tc>
          <w:tcPr>
            <w:tcW w:w="1421" w:type="dxa"/>
            <w:tcBorders>
              <w:top w:val="single" w:sz="4" w:space="0" w:color="E1E1E1"/>
              <w:left w:val="single" w:sz="4" w:space="0" w:color="E1E1E1"/>
              <w:bottom w:val="single" w:sz="4" w:space="0" w:color="E1E1E1"/>
              <w:right w:val="single" w:sz="4" w:space="0" w:color="E1E1E1"/>
            </w:tcBorders>
            <w:vAlign w:val="center"/>
          </w:tcPr>
          <w:p w14:paraId="1EDDBB65" w14:textId="77777777" w:rsidR="00974C73" w:rsidRPr="007263C1" w:rsidRDefault="00974C73" w:rsidP="009206B1">
            <w:pPr>
              <w:jc w:val="center"/>
              <w:rPr>
                <w:rFonts w:asciiTheme="minorHAnsi" w:hAnsiTheme="minorHAnsi" w:cstheme="minorHAnsi"/>
                <w:kern w:val="18"/>
                <w:sz w:val="18"/>
                <w:szCs w:val="18"/>
                <w:lang w:val="fr-CA"/>
              </w:rPr>
            </w:pPr>
            <w:r w:rsidRPr="007263C1">
              <w:rPr>
                <w:rFonts w:asciiTheme="minorHAnsi" w:hAnsiTheme="minorHAnsi" w:cstheme="minorHAnsi"/>
                <w:kern w:val="18"/>
                <w:sz w:val="18"/>
                <w:szCs w:val="18"/>
                <w:lang w:val="fr-CA"/>
              </w:rPr>
              <w:t>6</w:t>
            </w:r>
          </w:p>
        </w:tc>
      </w:tr>
      <w:tr w:rsidR="00974C73" w:rsidRPr="007263C1" w14:paraId="3D20C13A" w14:textId="77777777" w:rsidTr="009206B1">
        <w:trPr>
          <w:trHeight w:val="290"/>
        </w:trPr>
        <w:tc>
          <w:tcPr>
            <w:tcW w:w="1659" w:type="dxa"/>
            <w:tcBorders>
              <w:top w:val="single" w:sz="4" w:space="0" w:color="E1E1E1"/>
              <w:left w:val="single" w:sz="4" w:space="0" w:color="E1E1E1"/>
              <w:bottom w:val="single" w:sz="4" w:space="0" w:color="E1E1E1"/>
              <w:right w:val="single" w:sz="4" w:space="0" w:color="E1E1E1"/>
            </w:tcBorders>
            <w:vAlign w:val="center"/>
          </w:tcPr>
          <w:p w14:paraId="09FE1597" w14:textId="0ACA1A1E" w:rsidR="00974C73" w:rsidRPr="007263C1" w:rsidRDefault="00974C73" w:rsidP="009206B1">
            <w:pPr>
              <w:jc w:val="center"/>
              <w:rPr>
                <w:rFonts w:asciiTheme="minorHAnsi" w:hAnsiTheme="minorHAnsi" w:cstheme="minorHAnsi"/>
                <w:kern w:val="18"/>
                <w:sz w:val="18"/>
                <w:szCs w:val="18"/>
                <w:lang w:val="fr-CA"/>
              </w:rPr>
            </w:pPr>
            <w:bookmarkStart w:id="28" w:name="lt_pId094"/>
            <w:r w:rsidRPr="007263C1">
              <w:rPr>
                <w:rFonts w:asciiTheme="minorHAnsi" w:hAnsiTheme="minorHAnsi" w:cstheme="minorHAnsi"/>
                <w:kern w:val="18"/>
                <w:sz w:val="18"/>
                <w:szCs w:val="18"/>
                <w:lang w:val="fr-CA"/>
              </w:rPr>
              <w:t>Montréal</w:t>
            </w:r>
            <w:bookmarkEnd w:id="28"/>
          </w:p>
        </w:tc>
        <w:tc>
          <w:tcPr>
            <w:tcW w:w="955" w:type="dxa"/>
            <w:tcBorders>
              <w:top w:val="single" w:sz="4" w:space="0" w:color="E1E1E1"/>
              <w:left w:val="single" w:sz="4" w:space="0" w:color="E1E1E1"/>
              <w:bottom w:val="single" w:sz="4" w:space="0" w:color="E1E1E1"/>
              <w:right w:val="single" w:sz="4" w:space="0" w:color="E1E1E1"/>
            </w:tcBorders>
            <w:vAlign w:val="center"/>
          </w:tcPr>
          <w:p w14:paraId="738EF7BA" w14:textId="77777777" w:rsidR="00974C73" w:rsidRPr="007263C1" w:rsidRDefault="00974C73" w:rsidP="009206B1">
            <w:pPr>
              <w:jc w:val="center"/>
              <w:rPr>
                <w:rFonts w:asciiTheme="minorHAnsi" w:hAnsiTheme="minorHAnsi" w:cstheme="minorHAnsi"/>
                <w:kern w:val="18"/>
                <w:sz w:val="18"/>
                <w:szCs w:val="18"/>
                <w:lang w:val="fr-CA"/>
              </w:rPr>
            </w:pPr>
            <w:r w:rsidRPr="007263C1">
              <w:rPr>
                <w:rFonts w:asciiTheme="minorHAnsi" w:hAnsiTheme="minorHAnsi" w:cstheme="minorHAnsi"/>
                <w:kern w:val="18"/>
                <w:sz w:val="18"/>
                <w:szCs w:val="18"/>
                <w:lang w:val="fr-CA"/>
              </w:rPr>
              <w:t>3</w:t>
            </w:r>
          </w:p>
        </w:tc>
        <w:tc>
          <w:tcPr>
            <w:tcW w:w="1078" w:type="dxa"/>
            <w:tcBorders>
              <w:top w:val="single" w:sz="4" w:space="0" w:color="E1E1E1"/>
              <w:left w:val="single" w:sz="4" w:space="0" w:color="E1E1E1"/>
              <w:bottom w:val="single" w:sz="4" w:space="0" w:color="E1E1E1"/>
              <w:right w:val="single" w:sz="4" w:space="0" w:color="E1E1E1"/>
            </w:tcBorders>
            <w:vAlign w:val="center"/>
          </w:tcPr>
          <w:p w14:paraId="4EC28B69" w14:textId="77777777" w:rsidR="00974C73" w:rsidRPr="007263C1" w:rsidRDefault="00974C73" w:rsidP="009206B1">
            <w:pPr>
              <w:jc w:val="center"/>
              <w:rPr>
                <w:rFonts w:asciiTheme="minorHAnsi" w:hAnsiTheme="minorHAnsi" w:cstheme="minorHAnsi"/>
                <w:kern w:val="18"/>
                <w:sz w:val="18"/>
                <w:szCs w:val="18"/>
                <w:lang w:val="fr-CA"/>
              </w:rPr>
            </w:pPr>
            <w:r w:rsidRPr="007263C1">
              <w:rPr>
                <w:rFonts w:asciiTheme="minorHAnsi" w:eastAsia="Calibri" w:hAnsiTheme="minorHAnsi" w:cstheme="minorHAnsi"/>
                <w:kern w:val="18"/>
                <w:sz w:val="18"/>
                <w:szCs w:val="18"/>
                <w:lang w:val="fr-CA"/>
              </w:rPr>
              <w:t>Français</w:t>
            </w:r>
          </w:p>
        </w:tc>
        <w:tc>
          <w:tcPr>
            <w:tcW w:w="1079" w:type="dxa"/>
            <w:tcBorders>
              <w:top w:val="single" w:sz="4" w:space="0" w:color="E1E1E1"/>
              <w:left w:val="single" w:sz="4" w:space="0" w:color="E1E1E1"/>
              <w:bottom w:val="single" w:sz="4" w:space="0" w:color="E1E1E1"/>
              <w:right w:val="single" w:sz="4" w:space="0" w:color="E1E1E1"/>
            </w:tcBorders>
            <w:vAlign w:val="center"/>
          </w:tcPr>
          <w:p w14:paraId="186B2A44" w14:textId="77777777" w:rsidR="00974C73" w:rsidRPr="007263C1" w:rsidRDefault="00974C73" w:rsidP="009206B1">
            <w:pPr>
              <w:jc w:val="center"/>
              <w:rPr>
                <w:rFonts w:asciiTheme="minorHAnsi" w:hAnsiTheme="minorHAnsi" w:cstheme="minorHAnsi"/>
                <w:kern w:val="18"/>
                <w:sz w:val="18"/>
                <w:szCs w:val="18"/>
                <w:lang w:val="fr-CA"/>
              </w:rPr>
            </w:pPr>
            <w:bookmarkStart w:id="29" w:name="lt_pId097"/>
            <w:r w:rsidRPr="007263C1">
              <w:rPr>
                <w:rFonts w:asciiTheme="minorHAnsi" w:hAnsiTheme="minorHAnsi" w:cstheme="minorHAnsi"/>
                <w:kern w:val="18"/>
                <w:sz w:val="18"/>
                <w:szCs w:val="18"/>
                <w:lang w:val="fr-CA"/>
              </w:rPr>
              <w:t>4</w:t>
            </w:r>
            <w:bookmarkEnd w:id="29"/>
            <w:r w:rsidRPr="007263C1">
              <w:rPr>
                <w:rFonts w:asciiTheme="minorHAnsi" w:hAnsiTheme="minorHAnsi" w:cstheme="minorHAnsi"/>
                <w:kern w:val="18"/>
                <w:sz w:val="18"/>
                <w:szCs w:val="18"/>
                <w:lang w:val="fr-CA"/>
              </w:rPr>
              <w:t> juin</w:t>
            </w:r>
          </w:p>
        </w:tc>
        <w:tc>
          <w:tcPr>
            <w:tcW w:w="1540" w:type="dxa"/>
            <w:tcBorders>
              <w:top w:val="single" w:sz="4" w:space="0" w:color="E1E1E1"/>
              <w:left w:val="single" w:sz="4" w:space="0" w:color="E1E1E1"/>
              <w:bottom w:val="single" w:sz="4" w:space="0" w:color="E1E1E1"/>
              <w:right w:val="single" w:sz="4" w:space="0" w:color="E1E1E1"/>
            </w:tcBorders>
            <w:vAlign w:val="center"/>
          </w:tcPr>
          <w:p w14:paraId="6241347D" w14:textId="77777777" w:rsidR="00974C73" w:rsidRPr="007263C1" w:rsidRDefault="00974C73" w:rsidP="009206B1">
            <w:pPr>
              <w:jc w:val="center"/>
              <w:rPr>
                <w:rFonts w:asciiTheme="minorHAnsi" w:hAnsiTheme="minorHAnsi" w:cstheme="minorHAnsi"/>
                <w:kern w:val="18"/>
                <w:sz w:val="18"/>
                <w:szCs w:val="18"/>
                <w:lang w:val="fr-CA"/>
              </w:rPr>
            </w:pPr>
            <w:r w:rsidRPr="007263C1">
              <w:rPr>
                <w:rFonts w:asciiTheme="minorHAnsi" w:eastAsia="Calibri" w:hAnsiTheme="minorHAnsi" w:cstheme="minorHAnsi"/>
                <w:kern w:val="18"/>
                <w:sz w:val="18"/>
                <w:szCs w:val="18"/>
                <w:lang w:val="fr-CA"/>
              </w:rPr>
              <w:t>17 h 30-19 h 30</w:t>
            </w:r>
          </w:p>
        </w:tc>
        <w:tc>
          <w:tcPr>
            <w:tcW w:w="1849" w:type="dxa"/>
            <w:gridSpan w:val="2"/>
            <w:tcBorders>
              <w:top w:val="single" w:sz="4" w:space="0" w:color="E1E1E1"/>
              <w:left w:val="single" w:sz="4" w:space="0" w:color="E1E1E1"/>
              <w:bottom w:val="single" w:sz="4" w:space="0" w:color="E1E1E1"/>
              <w:right w:val="single" w:sz="4" w:space="0" w:color="E1E1E1"/>
            </w:tcBorders>
            <w:vAlign w:val="center"/>
          </w:tcPr>
          <w:p w14:paraId="7A878BAE" w14:textId="77777777" w:rsidR="00974C73" w:rsidRPr="007263C1" w:rsidRDefault="00974C73" w:rsidP="009206B1">
            <w:pPr>
              <w:jc w:val="center"/>
              <w:rPr>
                <w:rFonts w:asciiTheme="minorHAnsi" w:hAnsiTheme="minorHAnsi" w:cstheme="minorHAnsi"/>
                <w:kern w:val="18"/>
                <w:sz w:val="18"/>
                <w:szCs w:val="18"/>
                <w:lang w:val="fr-CA"/>
              </w:rPr>
            </w:pPr>
            <w:r w:rsidRPr="007263C1">
              <w:rPr>
                <w:rFonts w:asciiTheme="minorHAnsi" w:hAnsiTheme="minorHAnsi" w:cstheme="minorHAnsi"/>
                <w:kern w:val="18"/>
                <w:sz w:val="18"/>
                <w:szCs w:val="18"/>
                <w:lang w:val="fr-CA"/>
              </w:rPr>
              <w:t>Aînés</w:t>
            </w:r>
          </w:p>
        </w:tc>
        <w:tc>
          <w:tcPr>
            <w:tcW w:w="1421" w:type="dxa"/>
            <w:tcBorders>
              <w:top w:val="single" w:sz="4" w:space="0" w:color="E1E1E1"/>
              <w:left w:val="single" w:sz="4" w:space="0" w:color="E1E1E1"/>
              <w:bottom w:val="single" w:sz="4" w:space="0" w:color="E1E1E1"/>
              <w:right w:val="single" w:sz="4" w:space="0" w:color="E1E1E1"/>
            </w:tcBorders>
            <w:vAlign w:val="center"/>
          </w:tcPr>
          <w:p w14:paraId="3D067E1C" w14:textId="77777777" w:rsidR="00974C73" w:rsidRPr="007263C1" w:rsidRDefault="00974C73" w:rsidP="009206B1">
            <w:pPr>
              <w:jc w:val="center"/>
              <w:rPr>
                <w:rFonts w:asciiTheme="minorHAnsi" w:hAnsiTheme="minorHAnsi" w:cstheme="minorHAnsi"/>
                <w:kern w:val="18"/>
                <w:sz w:val="18"/>
                <w:szCs w:val="18"/>
                <w:lang w:val="fr-CA"/>
              </w:rPr>
            </w:pPr>
            <w:r w:rsidRPr="007263C1">
              <w:rPr>
                <w:rFonts w:asciiTheme="minorHAnsi" w:hAnsiTheme="minorHAnsi" w:cstheme="minorHAnsi"/>
                <w:kern w:val="18"/>
                <w:sz w:val="18"/>
                <w:szCs w:val="18"/>
                <w:lang w:val="fr-CA"/>
              </w:rPr>
              <w:t>8</w:t>
            </w:r>
          </w:p>
        </w:tc>
      </w:tr>
      <w:tr w:rsidR="00974C73" w:rsidRPr="007263C1" w14:paraId="5D7D5E0E" w14:textId="77777777" w:rsidTr="009206B1">
        <w:trPr>
          <w:trHeight w:val="290"/>
        </w:trPr>
        <w:tc>
          <w:tcPr>
            <w:tcW w:w="1659" w:type="dxa"/>
            <w:tcBorders>
              <w:top w:val="single" w:sz="4" w:space="0" w:color="E1E1E1"/>
              <w:left w:val="single" w:sz="4" w:space="0" w:color="E1E1E1"/>
              <w:bottom w:val="single" w:sz="4" w:space="0" w:color="E1E1E1"/>
              <w:right w:val="single" w:sz="4" w:space="0" w:color="E1E1E1"/>
            </w:tcBorders>
            <w:vAlign w:val="center"/>
          </w:tcPr>
          <w:p w14:paraId="2CA1ABBB" w14:textId="57268C2F" w:rsidR="00974C73" w:rsidRPr="007263C1" w:rsidRDefault="00974C73" w:rsidP="009206B1">
            <w:pPr>
              <w:jc w:val="center"/>
              <w:rPr>
                <w:rFonts w:asciiTheme="minorHAnsi" w:hAnsiTheme="minorHAnsi" w:cstheme="minorHAnsi"/>
                <w:kern w:val="18"/>
                <w:sz w:val="18"/>
                <w:szCs w:val="18"/>
                <w:lang w:val="fr-CA"/>
              </w:rPr>
            </w:pPr>
            <w:bookmarkStart w:id="30" w:name="lt_pId101"/>
            <w:r w:rsidRPr="007263C1">
              <w:rPr>
                <w:rFonts w:asciiTheme="minorHAnsi" w:hAnsiTheme="minorHAnsi" w:cstheme="minorHAnsi"/>
                <w:kern w:val="18"/>
                <w:sz w:val="18"/>
                <w:szCs w:val="18"/>
                <w:lang w:val="fr-CA"/>
              </w:rPr>
              <w:t>Ontario</w:t>
            </w:r>
            <w:bookmarkEnd w:id="30"/>
            <w:r w:rsidRPr="007263C1">
              <w:rPr>
                <w:rFonts w:asciiTheme="minorHAnsi" w:hAnsiTheme="minorHAnsi" w:cstheme="minorHAnsi"/>
                <w:kern w:val="18"/>
                <w:sz w:val="18"/>
                <w:szCs w:val="18"/>
                <w:lang w:val="fr-CA"/>
              </w:rPr>
              <w:t xml:space="preserve"> </w:t>
            </w:r>
          </w:p>
          <w:p w14:paraId="514600B8" w14:textId="77777777" w:rsidR="00974C73" w:rsidRPr="007263C1" w:rsidRDefault="00974C73" w:rsidP="009206B1">
            <w:pPr>
              <w:jc w:val="center"/>
              <w:rPr>
                <w:rFonts w:asciiTheme="minorHAnsi" w:hAnsiTheme="minorHAnsi" w:cstheme="minorHAnsi"/>
                <w:kern w:val="18"/>
                <w:sz w:val="18"/>
                <w:szCs w:val="18"/>
                <w:lang w:val="fr-CA"/>
              </w:rPr>
            </w:pPr>
            <w:bookmarkStart w:id="31" w:name="lt_pId102"/>
            <w:r w:rsidRPr="007263C1">
              <w:rPr>
                <w:rFonts w:asciiTheme="minorHAnsi" w:hAnsiTheme="minorHAnsi" w:cstheme="minorHAnsi"/>
                <w:kern w:val="18"/>
                <w:sz w:val="18"/>
                <w:szCs w:val="18"/>
                <w:lang w:val="fr-CA"/>
              </w:rPr>
              <w:t xml:space="preserve">(grandes villes) </w:t>
            </w:r>
            <w:bookmarkEnd w:id="31"/>
          </w:p>
        </w:tc>
        <w:tc>
          <w:tcPr>
            <w:tcW w:w="955" w:type="dxa"/>
            <w:tcBorders>
              <w:top w:val="single" w:sz="4" w:space="0" w:color="E1E1E1"/>
              <w:left w:val="single" w:sz="4" w:space="0" w:color="E1E1E1"/>
              <w:bottom w:val="single" w:sz="4" w:space="0" w:color="E1E1E1"/>
              <w:right w:val="single" w:sz="4" w:space="0" w:color="E1E1E1"/>
            </w:tcBorders>
            <w:vAlign w:val="center"/>
          </w:tcPr>
          <w:p w14:paraId="0596803E" w14:textId="77777777" w:rsidR="00974C73" w:rsidRPr="007263C1" w:rsidRDefault="00974C73" w:rsidP="009206B1">
            <w:pPr>
              <w:jc w:val="center"/>
              <w:rPr>
                <w:rFonts w:asciiTheme="minorHAnsi" w:hAnsiTheme="minorHAnsi" w:cstheme="minorHAnsi"/>
                <w:kern w:val="18"/>
                <w:sz w:val="18"/>
                <w:szCs w:val="18"/>
                <w:lang w:val="fr-CA"/>
              </w:rPr>
            </w:pPr>
            <w:r w:rsidRPr="007263C1">
              <w:rPr>
                <w:rFonts w:asciiTheme="minorHAnsi" w:hAnsiTheme="minorHAnsi" w:cstheme="minorHAnsi"/>
                <w:kern w:val="18"/>
                <w:sz w:val="18"/>
                <w:szCs w:val="18"/>
                <w:lang w:val="fr-CA"/>
              </w:rPr>
              <w:t>4</w:t>
            </w:r>
          </w:p>
        </w:tc>
        <w:tc>
          <w:tcPr>
            <w:tcW w:w="1078" w:type="dxa"/>
            <w:tcBorders>
              <w:top w:val="single" w:sz="4" w:space="0" w:color="E1E1E1"/>
              <w:left w:val="single" w:sz="4" w:space="0" w:color="E1E1E1"/>
              <w:bottom w:val="single" w:sz="4" w:space="0" w:color="E1E1E1"/>
              <w:right w:val="single" w:sz="4" w:space="0" w:color="E1E1E1"/>
            </w:tcBorders>
            <w:vAlign w:val="center"/>
          </w:tcPr>
          <w:p w14:paraId="79C2857D" w14:textId="77777777" w:rsidR="00974C73" w:rsidRPr="007263C1" w:rsidRDefault="00974C73" w:rsidP="009206B1">
            <w:pPr>
              <w:jc w:val="center"/>
              <w:rPr>
                <w:rFonts w:asciiTheme="minorHAnsi" w:hAnsiTheme="minorHAnsi" w:cstheme="minorHAnsi"/>
                <w:kern w:val="18"/>
                <w:sz w:val="18"/>
                <w:szCs w:val="18"/>
                <w:lang w:val="fr-CA"/>
              </w:rPr>
            </w:pPr>
            <w:r w:rsidRPr="007263C1">
              <w:rPr>
                <w:rFonts w:asciiTheme="minorHAnsi" w:eastAsia="Calibri" w:hAnsiTheme="minorHAnsi" w:cstheme="minorHAnsi"/>
                <w:kern w:val="18"/>
                <w:sz w:val="18"/>
                <w:szCs w:val="18"/>
                <w:lang w:val="fr-CA"/>
              </w:rPr>
              <w:t>Anglais</w:t>
            </w:r>
          </w:p>
        </w:tc>
        <w:tc>
          <w:tcPr>
            <w:tcW w:w="1079" w:type="dxa"/>
            <w:tcBorders>
              <w:top w:val="single" w:sz="4" w:space="0" w:color="E1E1E1"/>
              <w:left w:val="single" w:sz="4" w:space="0" w:color="E1E1E1"/>
              <w:bottom w:val="single" w:sz="4" w:space="0" w:color="E1E1E1"/>
              <w:right w:val="single" w:sz="4" w:space="0" w:color="E1E1E1"/>
            </w:tcBorders>
            <w:vAlign w:val="center"/>
          </w:tcPr>
          <w:p w14:paraId="36880ABD" w14:textId="77777777" w:rsidR="00974C73" w:rsidRPr="007263C1" w:rsidRDefault="00974C73" w:rsidP="009206B1">
            <w:pPr>
              <w:jc w:val="center"/>
              <w:rPr>
                <w:rFonts w:asciiTheme="minorHAnsi" w:hAnsiTheme="minorHAnsi" w:cstheme="minorHAnsi"/>
                <w:kern w:val="18"/>
                <w:sz w:val="18"/>
                <w:szCs w:val="18"/>
                <w:lang w:val="fr-CA"/>
              </w:rPr>
            </w:pPr>
            <w:r w:rsidRPr="007263C1">
              <w:rPr>
                <w:rFonts w:asciiTheme="minorHAnsi" w:hAnsiTheme="minorHAnsi" w:cstheme="minorHAnsi"/>
                <w:kern w:val="18"/>
                <w:sz w:val="18"/>
                <w:szCs w:val="18"/>
                <w:lang w:val="fr-CA"/>
              </w:rPr>
              <w:t>9 juin</w:t>
            </w:r>
          </w:p>
        </w:tc>
        <w:tc>
          <w:tcPr>
            <w:tcW w:w="1540" w:type="dxa"/>
            <w:tcBorders>
              <w:top w:val="single" w:sz="4" w:space="0" w:color="E1E1E1"/>
              <w:left w:val="single" w:sz="4" w:space="0" w:color="E1E1E1"/>
              <w:bottom w:val="single" w:sz="4" w:space="0" w:color="E1E1E1"/>
              <w:right w:val="single" w:sz="4" w:space="0" w:color="E1E1E1"/>
            </w:tcBorders>
            <w:vAlign w:val="center"/>
          </w:tcPr>
          <w:p w14:paraId="1C10D818" w14:textId="77777777" w:rsidR="00974C73" w:rsidRPr="007263C1" w:rsidRDefault="00974C73" w:rsidP="009206B1">
            <w:pPr>
              <w:jc w:val="center"/>
              <w:rPr>
                <w:rFonts w:asciiTheme="minorHAnsi" w:hAnsiTheme="minorHAnsi" w:cstheme="minorHAnsi"/>
                <w:kern w:val="18"/>
                <w:sz w:val="18"/>
                <w:szCs w:val="18"/>
                <w:lang w:val="fr-CA"/>
              </w:rPr>
            </w:pPr>
            <w:r w:rsidRPr="007263C1">
              <w:rPr>
                <w:rFonts w:asciiTheme="minorHAnsi" w:eastAsia="Calibri" w:hAnsiTheme="minorHAnsi" w:cstheme="minorHAnsi"/>
                <w:kern w:val="18"/>
                <w:sz w:val="18"/>
                <w:szCs w:val="18"/>
                <w:lang w:val="fr-CA"/>
              </w:rPr>
              <w:t>17 h 30-19 h 30</w:t>
            </w:r>
          </w:p>
        </w:tc>
        <w:tc>
          <w:tcPr>
            <w:tcW w:w="1849" w:type="dxa"/>
            <w:gridSpan w:val="2"/>
            <w:tcBorders>
              <w:top w:val="single" w:sz="4" w:space="0" w:color="E1E1E1"/>
              <w:left w:val="single" w:sz="4" w:space="0" w:color="E1E1E1"/>
              <w:bottom w:val="single" w:sz="4" w:space="0" w:color="E1E1E1"/>
              <w:right w:val="single" w:sz="4" w:space="0" w:color="E1E1E1"/>
            </w:tcBorders>
            <w:vAlign w:val="center"/>
          </w:tcPr>
          <w:p w14:paraId="4D3EC59E" w14:textId="77777777" w:rsidR="00974C73" w:rsidRPr="007263C1" w:rsidRDefault="00974C73" w:rsidP="009206B1">
            <w:pPr>
              <w:jc w:val="center"/>
              <w:rPr>
                <w:rFonts w:asciiTheme="minorHAnsi" w:hAnsiTheme="minorHAnsi" w:cstheme="minorHAnsi"/>
                <w:kern w:val="18"/>
                <w:sz w:val="18"/>
                <w:szCs w:val="18"/>
                <w:lang w:val="fr-CA"/>
              </w:rPr>
            </w:pPr>
            <w:r w:rsidRPr="007263C1">
              <w:rPr>
                <w:rFonts w:asciiTheme="minorHAnsi" w:hAnsiTheme="minorHAnsi" w:cstheme="minorHAnsi"/>
                <w:kern w:val="18"/>
                <w:sz w:val="18"/>
                <w:szCs w:val="18"/>
                <w:lang w:val="fr-CA"/>
              </w:rPr>
              <w:t>Aînés</w:t>
            </w:r>
          </w:p>
        </w:tc>
        <w:tc>
          <w:tcPr>
            <w:tcW w:w="1421" w:type="dxa"/>
            <w:tcBorders>
              <w:top w:val="single" w:sz="4" w:space="0" w:color="E1E1E1"/>
              <w:left w:val="single" w:sz="4" w:space="0" w:color="E1E1E1"/>
              <w:bottom w:val="single" w:sz="4" w:space="0" w:color="E1E1E1"/>
              <w:right w:val="single" w:sz="4" w:space="0" w:color="E1E1E1"/>
            </w:tcBorders>
            <w:vAlign w:val="center"/>
          </w:tcPr>
          <w:p w14:paraId="7C302160" w14:textId="77777777" w:rsidR="00974C73" w:rsidRPr="007263C1" w:rsidRDefault="00974C73" w:rsidP="009206B1">
            <w:pPr>
              <w:jc w:val="center"/>
              <w:rPr>
                <w:rFonts w:asciiTheme="minorHAnsi" w:hAnsiTheme="minorHAnsi" w:cstheme="minorHAnsi"/>
                <w:kern w:val="18"/>
                <w:sz w:val="18"/>
                <w:szCs w:val="18"/>
                <w:lang w:val="fr-CA"/>
              </w:rPr>
            </w:pPr>
            <w:r w:rsidRPr="007263C1">
              <w:rPr>
                <w:rFonts w:asciiTheme="minorHAnsi" w:hAnsiTheme="minorHAnsi" w:cstheme="minorHAnsi"/>
                <w:kern w:val="18"/>
                <w:sz w:val="18"/>
                <w:szCs w:val="18"/>
                <w:lang w:val="fr-CA"/>
              </w:rPr>
              <w:t>8</w:t>
            </w:r>
          </w:p>
        </w:tc>
      </w:tr>
      <w:tr w:rsidR="00974C73" w:rsidRPr="007263C1" w14:paraId="441CD476" w14:textId="77777777" w:rsidTr="009206B1">
        <w:trPr>
          <w:trHeight w:val="290"/>
        </w:trPr>
        <w:tc>
          <w:tcPr>
            <w:tcW w:w="1659" w:type="dxa"/>
            <w:tcBorders>
              <w:top w:val="single" w:sz="4" w:space="0" w:color="E1E1E1"/>
              <w:left w:val="single" w:sz="4" w:space="0" w:color="E1E1E1"/>
              <w:bottom w:val="single" w:sz="4" w:space="0" w:color="E1E1E1"/>
              <w:right w:val="single" w:sz="4" w:space="0" w:color="E1E1E1"/>
            </w:tcBorders>
            <w:vAlign w:val="center"/>
          </w:tcPr>
          <w:p w14:paraId="2D8E146E" w14:textId="00843C3B" w:rsidR="00974C73" w:rsidRPr="007263C1" w:rsidRDefault="00974C73" w:rsidP="009206B1">
            <w:pPr>
              <w:jc w:val="center"/>
              <w:rPr>
                <w:rFonts w:asciiTheme="minorHAnsi" w:hAnsiTheme="minorHAnsi" w:cstheme="minorHAnsi"/>
                <w:kern w:val="18"/>
                <w:sz w:val="18"/>
                <w:szCs w:val="18"/>
                <w:lang w:val="fr-CA"/>
              </w:rPr>
            </w:pPr>
            <w:bookmarkStart w:id="32" w:name="lt_pId109"/>
            <w:r w:rsidRPr="007263C1">
              <w:rPr>
                <w:rFonts w:asciiTheme="minorHAnsi" w:hAnsiTheme="minorHAnsi" w:cstheme="minorHAnsi"/>
                <w:kern w:val="18"/>
                <w:sz w:val="18"/>
                <w:szCs w:val="18"/>
                <w:lang w:val="fr-CA"/>
              </w:rPr>
              <w:t>Québec</w:t>
            </w:r>
            <w:bookmarkEnd w:id="32"/>
          </w:p>
        </w:tc>
        <w:tc>
          <w:tcPr>
            <w:tcW w:w="955" w:type="dxa"/>
            <w:tcBorders>
              <w:top w:val="single" w:sz="4" w:space="0" w:color="E1E1E1"/>
              <w:left w:val="single" w:sz="4" w:space="0" w:color="E1E1E1"/>
              <w:bottom w:val="single" w:sz="4" w:space="0" w:color="E1E1E1"/>
              <w:right w:val="single" w:sz="4" w:space="0" w:color="E1E1E1"/>
            </w:tcBorders>
            <w:vAlign w:val="center"/>
          </w:tcPr>
          <w:p w14:paraId="3EB29588" w14:textId="77777777" w:rsidR="00974C73" w:rsidRPr="007263C1" w:rsidRDefault="00974C73" w:rsidP="009206B1">
            <w:pPr>
              <w:jc w:val="center"/>
              <w:rPr>
                <w:rFonts w:asciiTheme="minorHAnsi" w:hAnsiTheme="minorHAnsi" w:cstheme="minorHAnsi"/>
                <w:kern w:val="18"/>
                <w:sz w:val="18"/>
                <w:szCs w:val="18"/>
                <w:lang w:val="fr-CA"/>
              </w:rPr>
            </w:pPr>
            <w:r w:rsidRPr="007263C1">
              <w:rPr>
                <w:rFonts w:asciiTheme="minorHAnsi" w:hAnsiTheme="minorHAnsi" w:cstheme="minorHAnsi"/>
                <w:kern w:val="18"/>
                <w:sz w:val="18"/>
                <w:szCs w:val="18"/>
                <w:lang w:val="fr-CA"/>
              </w:rPr>
              <w:t>5</w:t>
            </w:r>
          </w:p>
        </w:tc>
        <w:tc>
          <w:tcPr>
            <w:tcW w:w="1078" w:type="dxa"/>
            <w:tcBorders>
              <w:top w:val="single" w:sz="4" w:space="0" w:color="E1E1E1"/>
              <w:left w:val="single" w:sz="4" w:space="0" w:color="E1E1E1"/>
              <w:bottom w:val="single" w:sz="4" w:space="0" w:color="E1E1E1"/>
              <w:right w:val="single" w:sz="4" w:space="0" w:color="E1E1E1"/>
            </w:tcBorders>
            <w:vAlign w:val="center"/>
          </w:tcPr>
          <w:p w14:paraId="641F4684" w14:textId="77777777" w:rsidR="00974C73" w:rsidRPr="007263C1" w:rsidRDefault="00974C73" w:rsidP="009206B1">
            <w:pPr>
              <w:jc w:val="center"/>
              <w:rPr>
                <w:rFonts w:asciiTheme="minorHAnsi" w:hAnsiTheme="minorHAnsi" w:cstheme="minorHAnsi"/>
                <w:kern w:val="18"/>
                <w:sz w:val="18"/>
                <w:szCs w:val="18"/>
                <w:lang w:val="fr-CA"/>
              </w:rPr>
            </w:pPr>
            <w:r w:rsidRPr="007263C1">
              <w:rPr>
                <w:rFonts w:asciiTheme="minorHAnsi" w:eastAsia="Calibri" w:hAnsiTheme="minorHAnsi" w:cstheme="minorHAnsi"/>
                <w:kern w:val="18"/>
                <w:sz w:val="18"/>
                <w:szCs w:val="18"/>
                <w:lang w:val="fr-CA"/>
              </w:rPr>
              <w:t>Français</w:t>
            </w:r>
          </w:p>
        </w:tc>
        <w:tc>
          <w:tcPr>
            <w:tcW w:w="1079" w:type="dxa"/>
            <w:tcBorders>
              <w:top w:val="single" w:sz="4" w:space="0" w:color="E1E1E1"/>
              <w:left w:val="single" w:sz="4" w:space="0" w:color="E1E1E1"/>
              <w:bottom w:val="single" w:sz="4" w:space="0" w:color="E1E1E1"/>
              <w:right w:val="single" w:sz="4" w:space="0" w:color="E1E1E1"/>
            </w:tcBorders>
            <w:vAlign w:val="center"/>
          </w:tcPr>
          <w:p w14:paraId="1EE11411" w14:textId="77777777" w:rsidR="00974C73" w:rsidRPr="007263C1" w:rsidRDefault="00974C73" w:rsidP="009206B1">
            <w:pPr>
              <w:jc w:val="center"/>
              <w:rPr>
                <w:rFonts w:asciiTheme="minorHAnsi" w:hAnsiTheme="minorHAnsi" w:cstheme="minorHAnsi"/>
                <w:kern w:val="18"/>
                <w:sz w:val="18"/>
                <w:szCs w:val="18"/>
                <w:lang w:val="fr-CA"/>
              </w:rPr>
            </w:pPr>
            <w:r w:rsidRPr="007263C1">
              <w:rPr>
                <w:rFonts w:asciiTheme="minorHAnsi" w:hAnsiTheme="minorHAnsi" w:cstheme="minorHAnsi"/>
                <w:kern w:val="18"/>
                <w:sz w:val="18"/>
                <w:szCs w:val="18"/>
                <w:lang w:val="fr-CA"/>
              </w:rPr>
              <w:t>10 juin</w:t>
            </w:r>
          </w:p>
        </w:tc>
        <w:tc>
          <w:tcPr>
            <w:tcW w:w="1540" w:type="dxa"/>
            <w:tcBorders>
              <w:top w:val="single" w:sz="4" w:space="0" w:color="E1E1E1"/>
              <w:left w:val="single" w:sz="4" w:space="0" w:color="E1E1E1"/>
              <w:bottom w:val="single" w:sz="4" w:space="0" w:color="E1E1E1"/>
              <w:right w:val="single" w:sz="4" w:space="0" w:color="E1E1E1"/>
            </w:tcBorders>
            <w:vAlign w:val="center"/>
          </w:tcPr>
          <w:p w14:paraId="3BCB890C" w14:textId="77777777" w:rsidR="00974C73" w:rsidRPr="007263C1" w:rsidRDefault="00974C73" w:rsidP="009206B1">
            <w:pPr>
              <w:jc w:val="center"/>
              <w:rPr>
                <w:rFonts w:asciiTheme="minorHAnsi" w:hAnsiTheme="minorHAnsi" w:cstheme="minorHAnsi"/>
                <w:kern w:val="18"/>
                <w:sz w:val="18"/>
                <w:szCs w:val="18"/>
                <w:lang w:val="fr-CA"/>
              </w:rPr>
            </w:pPr>
            <w:bookmarkStart w:id="33" w:name="lt_pId113"/>
            <w:r w:rsidRPr="007263C1">
              <w:rPr>
                <w:rFonts w:asciiTheme="minorHAnsi" w:hAnsiTheme="minorHAnsi" w:cstheme="minorHAnsi"/>
                <w:kern w:val="18"/>
                <w:sz w:val="18"/>
                <w:szCs w:val="18"/>
                <w:lang w:val="fr-CA"/>
              </w:rPr>
              <w:t>17 h-19 </w:t>
            </w:r>
            <w:bookmarkEnd w:id="33"/>
            <w:r w:rsidRPr="007263C1">
              <w:rPr>
                <w:rFonts w:asciiTheme="minorHAnsi" w:hAnsiTheme="minorHAnsi" w:cstheme="minorHAnsi"/>
                <w:kern w:val="18"/>
                <w:sz w:val="18"/>
                <w:szCs w:val="18"/>
                <w:lang w:val="fr-CA"/>
              </w:rPr>
              <w:t>h</w:t>
            </w:r>
          </w:p>
        </w:tc>
        <w:tc>
          <w:tcPr>
            <w:tcW w:w="1849" w:type="dxa"/>
            <w:gridSpan w:val="2"/>
            <w:tcBorders>
              <w:top w:val="single" w:sz="4" w:space="0" w:color="E1E1E1"/>
              <w:left w:val="single" w:sz="4" w:space="0" w:color="E1E1E1"/>
              <w:bottom w:val="single" w:sz="4" w:space="0" w:color="E1E1E1"/>
              <w:right w:val="single" w:sz="4" w:space="0" w:color="E1E1E1"/>
            </w:tcBorders>
            <w:vAlign w:val="center"/>
          </w:tcPr>
          <w:p w14:paraId="0A556608" w14:textId="77777777" w:rsidR="00974C73" w:rsidRPr="007263C1" w:rsidRDefault="00974C73" w:rsidP="009206B1">
            <w:pPr>
              <w:jc w:val="center"/>
              <w:rPr>
                <w:rFonts w:asciiTheme="minorHAnsi" w:hAnsiTheme="minorHAnsi" w:cstheme="minorHAnsi"/>
                <w:kern w:val="18"/>
                <w:sz w:val="18"/>
                <w:szCs w:val="18"/>
                <w:lang w:val="fr-CA"/>
              </w:rPr>
            </w:pPr>
            <w:r w:rsidRPr="007263C1">
              <w:rPr>
                <w:rFonts w:asciiTheme="minorHAnsi" w:hAnsiTheme="minorHAnsi" w:cstheme="minorHAnsi"/>
                <w:kern w:val="18"/>
                <w:sz w:val="18"/>
                <w:szCs w:val="18"/>
                <w:lang w:val="fr-CA"/>
              </w:rPr>
              <w:t>Bénéficiaires de la PCU</w:t>
            </w:r>
          </w:p>
        </w:tc>
        <w:tc>
          <w:tcPr>
            <w:tcW w:w="1421" w:type="dxa"/>
            <w:tcBorders>
              <w:top w:val="single" w:sz="4" w:space="0" w:color="E1E1E1"/>
              <w:left w:val="single" w:sz="4" w:space="0" w:color="E1E1E1"/>
              <w:bottom w:val="single" w:sz="4" w:space="0" w:color="E1E1E1"/>
              <w:right w:val="single" w:sz="4" w:space="0" w:color="E1E1E1"/>
            </w:tcBorders>
            <w:vAlign w:val="center"/>
          </w:tcPr>
          <w:p w14:paraId="0937FE20" w14:textId="77777777" w:rsidR="00974C73" w:rsidRPr="007263C1" w:rsidRDefault="00974C73" w:rsidP="009206B1">
            <w:pPr>
              <w:jc w:val="center"/>
              <w:rPr>
                <w:rFonts w:asciiTheme="minorHAnsi" w:hAnsiTheme="minorHAnsi" w:cstheme="minorHAnsi"/>
                <w:kern w:val="18"/>
                <w:sz w:val="18"/>
                <w:szCs w:val="18"/>
                <w:lang w:val="fr-CA"/>
              </w:rPr>
            </w:pPr>
            <w:r w:rsidRPr="007263C1">
              <w:rPr>
                <w:rFonts w:asciiTheme="minorHAnsi" w:hAnsiTheme="minorHAnsi" w:cstheme="minorHAnsi"/>
                <w:kern w:val="18"/>
                <w:sz w:val="18"/>
                <w:szCs w:val="18"/>
                <w:lang w:val="fr-CA"/>
              </w:rPr>
              <w:t>7</w:t>
            </w:r>
          </w:p>
        </w:tc>
      </w:tr>
      <w:tr w:rsidR="00974C73" w:rsidRPr="007263C1" w14:paraId="42CBD5E7" w14:textId="77777777" w:rsidTr="009206B1">
        <w:trPr>
          <w:trHeight w:val="290"/>
        </w:trPr>
        <w:tc>
          <w:tcPr>
            <w:tcW w:w="1659" w:type="dxa"/>
            <w:tcBorders>
              <w:top w:val="single" w:sz="4" w:space="0" w:color="E1E1E1"/>
              <w:left w:val="single" w:sz="4" w:space="0" w:color="E1E1E1"/>
              <w:bottom w:val="single" w:sz="4" w:space="0" w:color="E1E1E1"/>
              <w:right w:val="single" w:sz="4" w:space="0" w:color="E1E1E1"/>
            </w:tcBorders>
            <w:vAlign w:val="center"/>
          </w:tcPr>
          <w:p w14:paraId="210F8D9C" w14:textId="323809FB" w:rsidR="00974C73" w:rsidRPr="007263C1" w:rsidRDefault="00974C73" w:rsidP="009206B1">
            <w:pPr>
              <w:jc w:val="center"/>
              <w:rPr>
                <w:rFonts w:asciiTheme="minorHAnsi" w:hAnsiTheme="minorHAnsi" w:cstheme="minorHAnsi"/>
                <w:kern w:val="18"/>
                <w:sz w:val="18"/>
                <w:szCs w:val="18"/>
                <w:lang w:val="fr-CA"/>
              </w:rPr>
            </w:pPr>
            <w:bookmarkStart w:id="34" w:name="lt_pId116"/>
            <w:r w:rsidRPr="007263C1">
              <w:rPr>
                <w:rFonts w:asciiTheme="minorHAnsi" w:hAnsiTheme="minorHAnsi" w:cstheme="minorHAnsi"/>
                <w:kern w:val="18"/>
                <w:sz w:val="18"/>
                <w:szCs w:val="18"/>
                <w:lang w:val="fr-CA"/>
              </w:rPr>
              <w:t>Vancouver</w:t>
            </w:r>
            <w:bookmarkEnd w:id="34"/>
          </w:p>
        </w:tc>
        <w:tc>
          <w:tcPr>
            <w:tcW w:w="955" w:type="dxa"/>
            <w:tcBorders>
              <w:top w:val="single" w:sz="4" w:space="0" w:color="E1E1E1"/>
              <w:left w:val="single" w:sz="4" w:space="0" w:color="E1E1E1"/>
              <w:bottom w:val="single" w:sz="4" w:space="0" w:color="E1E1E1"/>
              <w:right w:val="single" w:sz="4" w:space="0" w:color="E1E1E1"/>
            </w:tcBorders>
            <w:vAlign w:val="center"/>
          </w:tcPr>
          <w:p w14:paraId="6CB84BDF" w14:textId="77777777" w:rsidR="00974C73" w:rsidRPr="007263C1" w:rsidRDefault="00974C73" w:rsidP="009206B1">
            <w:pPr>
              <w:jc w:val="center"/>
              <w:rPr>
                <w:rFonts w:asciiTheme="minorHAnsi" w:hAnsiTheme="minorHAnsi" w:cstheme="minorHAnsi"/>
                <w:kern w:val="18"/>
                <w:sz w:val="18"/>
                <w:szCs w:val="18"/>
                <w:lang w:val="fr-CA"/>
              </w:rPr>
            </w:pPr>
            <w:r w:rsidRPr="007263C1">
              <w:rPr>
                <w:rFonts w:asciiTheme="minorHAnsi" w:hAnsiTheme="minorHAnsi" w:cstheme="minorHAnsi"/>
                <w:kern w:val="18"/>
                <w:sz w:val="18"/>
                <w:szCs w:val="18"/>
                <w:lang w:val="fr-CA"/>
              </w:rPr>
              <w:t>6</w:t>
            </w:r>
          </w:p>
        </w:tc>
        <w:tc>
          <w:tcPr>
            <w:tcW w:w="1078" w:type="dxa"/>
            <w:tcBorders>
              <w:top w:val="single" w:sz="4" w:space="0" w:color="E1E1E1"/>
              <w:left w:val="single" w:sz="4" w:space="0" w:color="E1E1E1"/>
              <w:bottom w:val="single" w:sz="4" w:space="0" w:color="E1E1E1"/>
              <w:right w:val="single" w:sz="4" w:space="0" w:color="E1E1E1"/>
            </w:tcBorders>
            <w:vAlign w:val="center"/>
          </w:tcPr>
          <w:p w14:paraId="75439EAC" w14:textId="77777777" w:rsidR="00974C73" w:rsidRPr="007263C1" w:rsidRDefault="00974C73" w:rsidP="009206B1">
            <w:pPr>
              <w:jc w:val="center"/>
              <w:rPr>
                <w:rFonts w:asciiTheme="minorHAnsi" w:hAnsiTheme="minorHAnsi" w:cstheme="minorHAnsi"/>
                <w:kern w:val="18"/>
                <w:sz w:val="18"/>
                <w:szCs w:val="18"/>
                <w:lang w:val="fr-CA"/>
              </w:rPr>
            </w:pPr>
            <w:r w:rsidRPr="007263C1">
              <w:rPr>
                <w:rFonts w:asciiTheme="minorHAnsi" w:eastAsia="Calibri" w:hAnsiTheme="minorHAnsi" w:cstheme="minorHAnsi"/>
                <w:kern w:val="18"/>
                <w:sz w:val="18"/>
                <w:szCs w:val="18"/>
                <w:lang w:val="fr-CA"/>
              </w:rPr>
              <w:t>Anglais</w:t>
            </w:r>
          </w:p>
        </w:tc>
        <w:tc>
          <w:tcPr>
            <w:tcW w:w="1079" w:type="dxa"/>
            <w:tcBorders>
              <w:top w:val="single" w:sz="4" w:space="0" w:color="E1E1E1"/>
              <w:left w:val="single" w:sz="4" w:space="0" w:color="E1E1E1"/>
              <w:bottom w:val="single" w:sz="4" w:space="0" w:color="E1E1E1"/>
              <w:right w:val="single" w:sz="4" w:space="0" w:color="E1E1E1"/>
            </w:tcBorders>
            <w:vAlign w:val="center"/>
          </w:tcPr>
          <w:p w14:paraId="3E2B25A5" w14:textId="77777777" w:rsidR="00974C73" w:rsidRPr="007263C1" w:rsidRDefault="00974C73" w:rsidP="009206B1">
            <w:pPr>
              <w:jc w:val="center"/>
              <w:rPr>
                <w:rFonts w:asciiTheme="minorHAnsi" w:hAnsiTheme="minorHAnsi" w:cstheme="minorHAnsi"/>
                <w:kern w:val="18"/>
                <w:sz w:val="18"/>
                <w:szCs w:val="18"/>
                <w:lang w:val="fr-CA"/>
              </w:rPr>
            </w:pPr>
            <w:r w:rsidRPr="007263C1">
              <w:rPr>
                <w:rFonts w:asciiTheme="minorHAnsi" w:hAnsiTheme="minorHAnsi" w:cstheme="minorHAnsi"/>
                <w:kern w:val="18"/>
                <w:sz w:val="18"/>
                <w:szCs w:val="18"/>
                <w:lang w:val="fr-CA"/>
              </w:rPr>
              <w:t>11 juin</w:t>
            </w:r>
          </w:p>
        </w:tc>
        <w:tc>
          <w:tcPr>
            <w:tcW w:w="1540" w:type="dxa"/>
            <w:tcBorders>
              <w:top w:val="single" w:sz="4" w:space="0" w:color="E1E1E1"/>
              <w:left w:val="single" w:sz="4" w:space="0" w:color="E1E1E1"/>
              <w:bottom w:val="single" w:sz="4" w:space="0" w:color="E1E1E1"/>
              <w:right w:val="single" w:sz="4" w:space="0" w:color="E1E1E1"/>
            </w:tcBorders>
            <w:vAlign w:val="center"/>
          </w:tcPr>
          <w:p w14:paraId="184FF9D8" w14:textId="77777777" w:rsidR="00974C73" w:rsidRPr="007263C1" w:rsidRDefault="00974C73" w:rsidP="009206B1">
            <w:pPr>
              <w:jc w:val="center"/>
              <w:rPr>
                <w:rFonts w:asciiTheme="minorHAnsi" w:hAnsiTheme="minorHAnsi" w:cstheme="minorHAnsi"/>
                <w:kern w:val="18"/>
                <w:sz w:val="18"/>
                <w:szCs w:val="18"/>
                <w:lang w:val="fr-CA"/>
              </w:rPr>
            </w:pPr>
            <w:r w:rsidRPr="007263C1">
              <w:rPr>
                <w:rFonts w:asciiTheme="minorHAnsi" w:eastAsia="Calibri" w:hAnsiTheme="minorHAnsi" w:cstheme="minorHAnsi"/>
                <w:kern w:val="18"/>
                <w:sz w:val="18"/>
                <w:szCs w:val="18"/>
                <w:lang w:val="fr-CA"/>
              </w:rPr>
              <w:t>20 h 30-22 h 30</w:t>
            </w:r>
          </w:p>
        </w:tc>
        <w:tc>
          <w:tcPr>
            <w:tcW w:w="1849" w:type="dxa"/>
            <w:gridSpan w:val="2"/>
            <w:tcBorders>
              <w:top w:val="single" w:sz="4" w:space="0" w:color="E1E1E1"/>
              <w:left w:val="single" w:sz="4" w:space="0" w:color="E1E1E1"/>
              <w:bottom w:val="single" w:sz="4" w:space="0" w:color="E1E1E1"/>
              <w:right w:val="single" w:sz="4" w:space="0" w:color="E1E1E1"/>
            </w:tcBorders>
            <w:vAlign w:val="center"/>
          </w:tcPr>
          <w:p w14:paraId="4F309136" w14:textId="77777777" w:rsidR="00974C73" w:rsidRPr="007263C1" w:rsidRDefault="00974C73" w:rsidP="009206B1">
            <w:pPr>
              <w:jc w:val="center"/>
              <w:rPr>
                <w:rFonts w:asciiTheme="minorHAnsi" w:hAnsiTheme="minorHAnsi" w:cstheme="minorHAnsi"/>
                <w:kern w:val="18"/>
                <w:sz w:val="18"/>
                <w:szCs w:val="18"/>
                <w:lang w:val="fr-CA"/>
              </w:rPr>
            </w:pPr>
            <w:r w:rsidRPr="007263C1">
              <w:rPr>
                <w:rFonts w:asciiTheme="minorHAnsi" w:hAnsiTheme="minorHAnsi" w:cstheme="minorHAnsi"/>
                <w:kern w:val="18"/>
                <w:sz w:val="18"/>
                <w:szCs w:val="18"/>
                <w:lang w:val="fr-CA"/>
              </w:rPr>
              <w:t>Parents (maternelle à 6</w:t>
            </w:r>
            <w:r w:rsidRPr="007263C1">
              <w:rPr>
                <w:rFonts w:asciiTheme="minorHAnsi" w:hAnsiTheme="minorHAnsi" w:cstheme="minorHAnsi"/>
                <w:kern w:val="18"/>
                <w:sz w:val="18"/>
                <w:szCs w:val="18"/>
                <w:vertAlign w:val="superscript"/>
                <w:lang w:val="fr-CA"/>
              </w:rPr>
              <w:t>e</w:t>
            </w:r>
            <w:r w:rsidRPr="007263C1">
              <w:rPr>
                <w:rFonts w:asciiTheme="minorHAnsi" w:hAnsiTheme="minorHAnsi" w:cstheme="minorHAnsi"/>
                <w:kern w:val="18"/>
                <w:sz w:val="18"/>
                <w:szCs w:val="18"/>
                <w:lang w:val="fr-CA"/>
              </w:rPr>
              <w:t xml:space="preserve"> année)</w:t>
            </w:r>
          </w:p>
        </w:tc>
        <w:tc>
          <w:tcPr>
            <w:tcW w:w="1421" w:type="dxa"/>
            <w:tcBorders>
              <w:top w:val="single" w:sz="4" w:space="0" w:color="E1E1E1"/>
              <w:left w:val="single" w:sz="4" w:space="0" w:color="E1E1E1"/>
              <w:bottom w:val="single" w:sz="4" w:space="0" w:color="E1E1E1"/>
              <w:right w:val="single" w:sz="4" w:space="0" w:color="E1E1E1"/>
            </w:tcBorders>
            <w:vAlign w:val="center"/>
          </w:tcPr>
          <w:p w14:paraId="153F91DF" w14:textId="77777777" w:rsidR="00974C73" w:rsidRPr="007263C1" w:rsidRDefault="00974C73" w:rsidP="009206B1">
            <w:pPr>
              <w:jc w:val="center"/>
              <w:rPr>
                <w:rFonts w:asciiTheme="minorHAnsi" w:hAnsiTheme="minorHAnsi" w:cstheme="minorHAnsi"/>
                <w:kern w:val="18"/>
                <w:sz w:val="18"/>
                <w:szCs w:val="18"/>
                <w:lang w:val="fr-CA"/>
              </w:rPr>
            </w:pPr>
            <w:r w:rsidRPr="007263C1">
              <w:rPr>
                <w:rFonts w:asciiTheme="minorHAnsi" w:hAnsiTheme="minorHAnsi" w:cstheme="minorHAnsi"/>
                <w:kern w:val="18"/>
                <w:sz w:val="18"/>
                <w:szCs w:val="18"/>
                <w:lang w:val="fr-CA"/>
              </w:rPr>
              <w:t>8</w:t>
            </w:r>
          </w:p>
        </w:tc>
      </w:tr>
      <w:tr w:rsidR="00974C73" w:rsidRPr="007263C1" w14:paraId="75ECCEA9" w14:textId="77777777" w:rsidTr="009206B1">
        <w:trPr>
          <w:trHeight w:val="290"/>
        </w:trPr>
        <w:tc>
          <w:tcPr>
            <w:tcW w:w="1659" w:type="dxa"/>
            <w:tcBorders>
              <w:top w:val="single" w:sz="4" w:space="0" w:color="E1E1E1"/>
              <w:left w:val="single" w:sz="4" w:space="0" w:color="E1E1E1"/>
              <w:bottom w:val="single" w:sz="4" w:space="0" w:color="E1E1E1"/>
              <w:right w:val="single" w:sz="4" w:space="0" w:color="E1E1E1"/>
            </w:tcBorders>
            <w:vAlign w:val="center"/>
          </w:tcPr>
          <w:p w14:paraId="20D9DA1C" w14:textId="24A83DB6" w:rsidR="00974C73" w:rsidRPr="007263C1" w:rsidRDefault="00974C73" w:rsidP="009206B1">
            <w:pPr>
              <w:jc w:val="center"/>
              <w:rPr>
                <w:rFonts w:asciiTheme="minorHAnsi" w:hAnsiTheme="minorHAnsi" w:cstheme="minorHAnsi"/>
                <w:kern w:val="18"/>
                <w:sz w:val="18"/>
                <w:szCs w:val="18"/>
                <w:lang w:val="fr-CA"/>
              </w:rPr>
            </w:pPr>
            <w:bookmarkStart w:id="35" w:name="lt_pId123"/>
            <w:r w:rsidRPr="007263C1">
              <w:rPr>
                <w:rFonts w:asciiTheme="minorHAnsi" w:hAnsiTheme="minorHAnsi" w:cstheme="minorHAnsi"/>
                <w:kern w:val="18"/>
                <w:sz w:val="18"/>
                <w:szCs w:val="18"/>
                <w:lang w:val="fr-CA"/>
              </w:rPr>
              <w:t>Ontario</w:t>
            </w:r>
            <w:bookmarkEnd w:id="35"/>
            <w:r w:rsidRPr="007263C1">
              <w:rPr>
                <w:rFonts w:asciiTheme="minorHAnsi" w:hAnsiTheme="minorHAnsi" w:cstheme="minorHAnsi"/>
                <w:kern w:val="18"/>
                <w:sz w:val="18"/>
                <w:szCs w:val="18"/>
                <w:lang w:val="fr-CA"/>
              </w:rPr>
              <w:t xml:space="preserve"> </w:t>
            </w:r>
          </w:p>
          <w:p w14:paraId="609119D2" w14:textId="77777777" w:rsidR="00974C73" w:rsidRPr="007263C1" w:rsidRDefault="00974C73" w:rsidP="009206B1">
            <w:pPr>
              <w:jc w:val="center"/>
              <w:rPr>
                <w:rFonts w:asciiTheme="minorHAnsi" w:hAnsiTheme="minorHAnsi" w:cstheme="minorHAnsi"/>
                <w:kern w:val="18"/>
                <w:sz w:val="18"/>
                <w:szCs w:val="18"/>
                <w:lang w:val="fr-CA"/>
              </w:rPr>
            </w:pPr>
            <w:r w:rsidRPr="007263C1">
              <w:rPr>
                <w:rFonts w:asciiTheme="minorHAnsi" w:hAnsiTheme="minorHAnsi" w:cstheme="minorHAnsi"/>
                <w:kern w:val="18"/>
                <w:sz w:val="18"/>
                <w:szCs w:val="18"/>
                <w:lang w:val="fr-CA"/>
              </w:rPr>
              <w:t>(villes de taille moyenne)</w:t>
            </w:r>
          </w:p>
        </w:tc>
        <w:tc>
          <w:tcPr>
            <w:tcW w:w="955" w:type="dxa"/>
            <w:tcBorders>
              <w:top w:val="single" w:sz="4" w:space="0" w:color="E1E1E1"/>
              <w:left w:val="single" w:sz="4" w:space="0" w:color="E1E1E1"/>
              <w:bottom w:val="single" w:sz="4" w:space="0" w:color="E1E1E1"/>
              <w:right w:val="single" w:sz="4" w:space="0" w:color="E1E1E1"/>
            </w:tcBorders>
            <w:vAlign w:val="center"/>
          </w:tcPr>
          <w:p w14:paraId="3998693A" w14:textId="77777777" w:rsidR="00974C73" w:rsidRPr="007263C1" w:rsidRDefault="00974C73" w:rsidP="009206B1">
            <w:pPr>
              <w:jc w:val="center"/>
              <w:rPr>
                <w:rFonts w:asciiTheme="minorHAnsi" w:hAnsiTheme="minorHAnsi" w:cstheme="minorHAnsi"/>
                <w:kern w:val="18"/>
                <w:sz w:val="18"/>
                <w:szCs w:val="18"/>
                <w:lang w:val="fr-CA"/>
              </w:rPr>
            </w:pPr>
            <w:r w:rsidRPr="007263C1">
              <w:rPr>
                <w:rFonts w:asciiTheme="minorHAnsi" w:hAnsiTheme="minorHAnsi" w:cstheme="minorHAnsi"/>
                <w:kern w:val="18"/>
                <w:sz w:val="18"/>
                <w:szCs w:val="18"/>
                <w:lang w:val="fr-CA"/>
              </w:rPr>
              <w:t>7</w:t>
            </w:r>
          </w:p>
        </w:tc>
        <w:tc>
          <w:tcPr>
            <w:tcW w:w="1078" w:type="dxa"/>
            <w:tcBorders>
              <w:top w:val="single" w:sz="4" w:space="0" w:color="E1E1E1"/>
              <w:left w:val="single" w:sz="4" w:space="0" w:color="E1E1E1"/>
              <w:bottom w:val="single" w:sz="4" w:space="0" w:color="E1E1E1"/>
              <w:right w:val="single" w:sz="4" w:space="0" w:color="E1E1E1"/>
            </w:tcBorders>
            <w:vAlign w:val="center"/>
          </w:tcPr>
          <w:p w14:paraId="2709AB0A" w14:textId="77777777" w:rsidR="00974C73" w:rsidRPr="007263C1" w:rsidRDefault="00974C73" w:rsidP="009206B1">
            <w:pPr>
              <w:jc w:val="center"/>
              <w:rPr>
                <w:rFonts w:asciiTheme="minorHAnsi" w:hAnsiTheme="minorHAnsi" w:cstheme="minorHAnsi"/>
                <w:kern w:val="18"/>
                <w:sz w:val="18"/>
                <w:szCs w:val="18"/>
                <w:lang w:val="fr-CA"/>
              </w:rPr>
            </w:pPr>
            <w:r w:rsidRPr="007263C1">
              <w:rPr>
                <w:rFonts w:asciiTheme="minorHAnsi" w:eastAsia="Calibri" w:hAnsiTheme="minorHAnsi" w:cstheme="minorHAnsi"/>
                <w:kern w:val="18"/>
                <w:sz w:val="18"/>
                <w:szCs w:val="18"/>
                <w:lang w:val="fr-CA"/>
              </w:rPr>
              <w:t>Anglais</w:t>
            </w:r>
          </w:p>
        </w:tc>
        <w:tc>
          <w:tcPr>
            <w:tcW w:w="1079" w:type="dxa"/>
            <w:tcBorders>
              <w:top w:val="single" w:sz="4" w:space="0" w:color="E1E1E1"/>
              <w:left w:val="single" w:sz="4" w:space="0" w:color="E1E1E1"/>
              <w:bottom w:val="single" w:sz="4" w:space="0" w:color="E1E1E1"/>
              <w:right w:val="single" w:sz="4" w:space="0" w:color="E1E1E1"/>
            </w:tcBorders>
            <w:vAlign w:val="center"/>
          </w:tcPr>
          <w:p w14:paraId="38F377B9" w14:textId="77777777" w:rsidR="00974C73" w:rsidRPr="007263C1" w:rsidRDefault="00974C73" w:rsidP="009206B1">
            <w:pPr>
              <w:jc w:val="center"/>
              <w:rPr>
                <w:rFonts w:asciiTheme="minorHAnsi" w:hAnsiTheme="minorHAnsi" w:cstheme="minorHAnsi"/>
                <w:kern w:val="18"/>
                <w:sz w:val="18"/>
                <w:szCs w:val="18"/>
                <w:lang w:val="fr-CA"/>
              </w:rPr>
            </w:pPr>
            <w:bookmarkStart w:id="36" w:name="lt_pId127"/>
            <w:r w:rsidRPr="007263C1">
              <w:rPr>
                <w:rFonts w:asciiTheme="minorHAnsi" w:hAnsiTheme="minorHAnsi" w:cstheme="minorHAnsi"/>
                <w:kern w:val="18"/>
                <w:sz w:val="18"/>
                <w:szCs w:val="18"/>
                <w:lang w:val="fr-CA"/>
              </w:rPr>
              <w:t>15</w:t>
            </w:r>
            <w:bookmarkEnd w:id="36"/>
            <w:r w:rsidRPr="007263C1">
              <w:rPr>
                <w:rFonts w:asciiTheme="minorHAnsi" w:hAnsiTheme="minorHAnsi" w:cstheme="minorHAnsi"/>
                <w:kern w:val="18"/>
                <w:sz w:val="18"/>
                <w:szCs w:val="18"/>
                <w:lang w:val="fr-CA"/>
              </w:rPr>
              <w:t> juin</w:t>
            </w:r>
          </w:p>
        </w:tc>
        <w:tc>
          <w:tcPr>
            <w:tcW w:w="1540" w:type="dxa"/>
            <w:tcBorders>
              <w:top w:val="single" w:sz="4" w:space="0" w:color="E1E1E1"/>
              <w:left w:val="single" w:sz="4" w:space="0" w:color="E1E1E1"/>
              <w:bottom w:val="single" w:sz="4" w:space="0" w:color="E1E1E1"/>
              <w:right w:val="single" w:sz="4" w:space="0" w:color="E1E1E1"/>
            </w:tcBorders>
            <w:vAlign w:val="center"/>
          </w:tcPr>
          <w:p w14:paraId="6F44CCEB" w14:textId="77777777" w:rsidR="00974C73" w:rsidRPr="007263C1" w:rsidRDefault="00974C73" w:rsidP="009206B1">
            <w:pPr>
              <w:jc w:val="center"/>
              <w:rPr>
                <w:rFonts w:asciiTheme="minorHAnsi" w:hAnsiTheme="minorHAnsi" w:cstheme="minorHAnsi"/>
                <w:kern w:val="18"/>
                <w:sz w:val="18"/>
                <w:szCs w:val="18"/>
                <w:lang w:val="fr-CA"/>
              </w:rPr>
            </w:pPr>
            <w:r w:rsidRPr="007263C1">
              <w:rPr>
                <w:rFonts w:asciiTheme="minorHAnsi" w:eastAsia="Calibri" w:hAnsiTheme="minorHAnsi" w:cstheme="minorHAnsi"/>
                <w:kern w:val="18"/>
                <w:sz w:val="18"/>
                <w:szCs w:val="18"/>
                <w:lang w:val="fr-CA"/>
              </w:rPr>
              <w:t>17 h 30-19 h 30</w:t>
            </w:r>
          </w:p>
        </w:tc>
        <w:tc>
          <w:tcPr>
            <w:tcW w:w="1849" w:type="dxa"/>
            <w:gridSpan w:val="2"/>
            <w:tcBorders>
              <w:top w:val="single" w:sz="4" w:space="0" w:color="E1E1E1"/>
              <w:left w:val="single" w:sz="4" w:space="0" w:color="E1E1E1"/>
              <w:bottom w:val="single" w:sz="4" w:space="0" w:color="E1E1E1"/>
              <w:right w:val="single" w:sz="4" w:space="0" w:color="E1E1E1"/>
            </w:tcBorders>
            <w:vAlign w:val="center"/>
          </w:tcPr>
          <w:p w14:paraId="3D7655F9" w14:textId="77777777" w:rsidR="00974C73" w:rsidRPr="007263C1" w:rsidRDefault="00974C73" w:rsidP="009206B1">
            <w:pPr>
              <w:jc w:val="center"/>
              <w:rPr>
                <w:rFonts w:asciiTheme="minorHAnsi" w:hAnsiTheme="minorHAnsi" w:cstheme="minorHAnsi"/>
                <w:kern w:val="18"/>
                <w:sz w:val="18"/>
                <w:szCs w:val="18"/>
                <w:lang w:val="fr-CA"/>
              </w:rPr>
            </w:pPr>
            <w:r w:rsidRPr="007263C1">
              <w:rPr>
                <w:rFonts w:asciiTheme="minorHAnsi" w:hAnsiTheme="minorHAnsi" w:cstheme="minorHAnsi"/>
                <w:kern w:val="18"/>
                <w:sz w:val="18"/>
                <w:szCs w:val="18"/>
                <w:lang w:val="fr-CA"/>
              </w:rPr>
              <w:t>Population générale</w:t>
            </w:r>
          </w:p>
        </w:tc>
        <w:tc>
          <w:tcPr>
            <w:tcW w:w="1421" w:type="dxa"/>
            <w:tcBorders>
              <w:top w:val="single" w:sz="4" w:space="0" w:color="E1E1E1"/>
              <w:left w:val="single" w:sz="4" w:space="0" w:color="E1E1E1"/>
              <w:bottom w:val="single" w:sz="4" w:space="0" w:color="E1E1E1"/>
              <w:right w:val="single" w:sz="4" w:space="0" w:color="E1E1E1"/>
            </w:tcBorders>
            <w:vAlign w:val="center"/>
          </w:tcPr>
          <w:p w14:paraId="7FCCFC02" w14:textId="77777777" w:rsidR="00974C73" w:rsidRPr="007263C1" w:rsidRDefault="00974C73" w:rsidP="009206B1">
            <w:pPr>
              <w:jc w:val="center"/>
              <w:rPr>
                <w:rFonts w:asciiTheme="minorHAnsi" w:hAnsiTheme="minorHAnsi" w:cstheme="minorHAnsi"/>
                <w:kern w:val="18"/>
                <w:sz w:val="18"/>
                <w:szCs w:val="18"/>
                <w:lang w:val="fr-CA"/>
              </w:rPr>
            </w:pPr>
            <w:r w:rsidRPr="007263C1">
              <w:rPr>
                <w:rFonts w:asciiTheme="minorHAnsi" w:hAnsiTheme="minorHAnsi" w:cstheme="minorHAnsi"/>
                <w:kern w:val="18"/>
                <w:sz w:val="18"/>
                <w:szCs w:val="18"/>
                <w:lang w:val="fr-CA"/>
              </w:rPr>
              <w:t>6</w:t>
            </w:r>
          </w:p>
        </w:tc>
      </w:tr>
      <w:tr w:rsidR="00974C73" w:rsidRPr="007263C1" w14:paraId="334321CE" w14:textId="77777777" w:rsidTr="009206B1">
        <w:trPr>
          <w:trHeight w:val="290"/>
        </w:trPr>
        <w:tc>
          <w:tcPr>
            <w:tcW w:w="1659" w:type="dxa"/>
            <w:tcBorders>
              <w:top w:val="single" w:sz="4" w:space="0" w:color="E1E1E1"/>
              <w:left w:val="single" w:sz="4" w:space="0" w:color="E1E1E1"/>
              <w:bottom w:val="single" w:sz="4" w:space="0" w:color="E1E1E1"/>
              <w:right w:val="single" w:sz="4" w:space="0" w:color="E1E1E1"/>
            </w:tcBorders>
            <w:vAlign w:val="center"/>
          </w:tcPr>
          <w:p w14:paraId="18C12601" w14:textId="77777777" w:rsidR="00974C73" w:rsidRPr="007263C1" w:rsidRDefault="00974C73" w:rsidP="009206B1">
            <w:pPr>
              <w:jc w:val="center"/>
              <w:rPr>
                <w:rFonts w:asciiTheme="minorHAnsi" w:hAnsiTheme="minorHAnsi" w:cstheme="minorHAnsi"/>
                <w:kern w:val="18"/>
                <w:sz w:val="18"/>
                <w:szCs w:val="18"/>
                <w:lang w:val="fr-CA"/>
              </w:rPr>
            </w:pPr>
            <w:r w:rsidRPr="007263C1">
              <w:rPr>
                <w:rFonts w:asciiTheme="minorHAnsi" w:hAnsiTheme="minorHAnsi" w:cstheme="minorHAnsi"/>
                <w:kern w:val="18"/>
                <w:sz w:val="18"/>
                <w:szCs w:val="18"/>
                <w:lang w:val="fr-CA"/>
              </w:rPr>
              <w:t>Nord du Manitoba et de la Saskatchewan</w:t>
            </w:r>
          </w:p>
        </w:tc>
        <w:tc>
          <w:tcPr>
            <w:tcW w:w="955" w:type="dxa"/>
            <w:tcBorders>
              <w:top w:val="single" w:sz="4" w:space="0" w:color="E1E1E1"/>
              <w:left w:val="single" w:sz="4" w:space="0" w:color="E1E1E1"/>
              <w:bottom w:val="single" w:sz="4" w:space="0" w:color="E1E1E1"/>
              <w:right w:val="single" w:sz="4" w:space="0" w:color="E1E1E1"/>
            </w:tcBorders>
            <w:vAlign w:val="center"/>
          </w:tcPr>
          <w:p w14:paraId="44DBAA89" w14:textId="77777777" w:rsidR="00974C73" w:rsidRPr="007263C1" w:rsidRDefault="00974C73" w:rsidP="009206B1">
            <w:pPr>
              <w:jc w:val="center"/>
              <w:rPr>
                <w:rFonts w:asciiTheme="minorHAnsi" w:hAnsiTheme="minorHAnsi" w:cstheme="minorHAnsi"/>
                <w:kern w:val="18"/>
                <w:sz w:val="18"/>
                <w:szCs w:val="18"/>
                <w:lang w:val="fr-CA"/>
              </w:rPr>
            </w:pPr>
            <w:r w:rsidRPr="007263C1">
              <w:rPr>
                <w:rFonts w:asciiTheme="minorHAnsi" w:hAnsiTheme="minorHAnsi" w:cstheme="minorHAnsi"/>
                <w:kern w:val="18"/>
                <w:sz w:val="18"/>
                <w:szCs w:val="18"/>
                <w:lang w:val="fr-CA"/>
              </w:rPr>
              <w:t>8</w:t>
            </w:r>
          </w:p>
        </w:tc>
        <w:tc>
          <w:tcPr>
            <w:tcW w:w="1078" w:type="dxa"/>
            <w:tcBorders>
              <w:top w:val="single" w:sz="4" w:space="0" w:color="E1E1E1"/>
              <w:left w:val="single" w:sz="4" w:space="0" w:color="E1E1E1"/>
              <w:bottom w:val="single" w:sz="4" w:space="0" w:color="E1E1E1"/>
              <w:right w:val="single" w:sz="4" w:space="0" w:color="E1E1E1"/>
            </w:tcBorders>
            <w:vAlign w:val="center"/>
          </w:tcPr>
          <w:p w14:paraId="3A2A301F" w14:textId="77777777" w:rsidR="00974C73" w:rsidRPr="007263C1" w:rsidRDefault="00974C73" w:rsidP="009206B1">
            <w:pPr>
              <w:jc w:val="center"/>
              <w:rPr>
                <w:rFonts w:asciiTheme="minorHAnsi" w:hAnsiTheme="minorHAnsi" w:cstheme="minorHAnsi"/>
                <w:kern w:val="18"/>
                <w:sz w:val="18"/>
                <w:szCs w:val="18"/>
                <w:lang w:val="fr-CA"/>
              </w:rPr>
            </w:pPr>
            <w:r w:rsidRPr="007263C1">
              <w:rPr>
                <w:rFonts w:asciiTheme="minorHAnsi" w:eastAsia="Calibri" w:hAnsiTheme="minorHAnsi" w:cstheme="minorHAnsi"/>
                <w:kern w:val="18"/>
                <w:sz w:val="18"/>
                <w:szCs w:val="18"/>
                <w:lang w:val="fr-CA"/>
              </w:rPr>
              <w:t>Anglais</w:t>
            </w:r>
          </w:p>
        </w:tc>
        <w:tc>
          <w:tcPr>
            <w:tcW w:w="1079" w:type="dxa"/>
            <w:tcBorders>
              <w:top w:val="single" w:sz="4" w:space="0" w:color="E1E1E1"/>
              <w:left w:val="single" w:sz="4" w:space="0" w:color="E1E1E1"/>
              <w:bottom w:val="single" w:sz="4" w:space="0" w:color="E1E1E1"/>
              <w:right w:val="single" w:sz="4" w:space="0" w:color="E1E1E1"/>
            </w:tcBorders>
            <w:vAlign w:val="center"/>
          </w:tcPr>
          <w:p w14:paraId="7F84F3BE" w14:textId="77777777" w:rsidR="00974C73" w:rsidRPr="007263C1" w:rsidRDefault="00974C73" w:rsidP="009206B1">
            <w:pPr>
              <w:jc w:val="center"/>
              <w:rPr>
                <w:rFonts w:asciiTheme="minorHAnsi" w:hAnsiTheme="minorHAnsi" w:cstheme="minorHAnsi"/>
                <w:kern w:val="18"/>
                <w:sz w:val="18"/>
                <w:szCs w:val="18"/>
                <w:lang w:val="fr-CA"/>
              </w:rPr>
            </w:pPr>
            <w:bookmarkStart w:id="37" w:name="lt_pId134"/>
            <w:r w:rsidRPr="007263C1">
              <w:rPr>
                <w:rFonts w:asciiTheme="minorHAnsi" w:hAnsiTheme="minorHAnsi" w:cstheme="minorHAnsi"/>
                <w:kern w:val="18"/>
                <w:sz w:val="18"/>
                <w:szCs w:val="18"/>
                <w:lang w:val="fr-CA"/>
              </w:rPr>
              <w:t>16</w:t>
            </w:r>
            <w:bookmarkEnd w:id="37"/>
            <w:r w:rsidRPr="007263C1">
              <w:rPr>
                <w:rFonts w:asciiTheme="minorHAnsi" w:hAnsiTheme="minorHAnsi" w:cstheme="minorHAnsi"/>
                <w:kern w:val="18"/>
                <w:sz w:val="18"/>
                <w:szCs w:val="18"/>
                <w:lang w:val="fr-CA"/>
              </w:rPr>
              <w:t> juin</w:t>
            </w:r>
          </w:p>
        </w:tc>
        <w:tc>
          <w:tcPr>
            <w:tcW w:w="1540" w:type="dxa"/>
            <w:tcBorders>
              <w:top w:val="single" w:sz="4" w:space="0" w:color="E1E1E1"/>
              <w:left w:val="single" w:sz="4" w:space="0" w:color="E1E1E1"/>
              <w:bottom w:val="single" w:sz="4" w:space="0" w:color="E1E1E1"/>
              <w:right w:val="single" w:sz="4" w:space="0" w:color="E1E1E1"/>
            </w:tcBorders>
            <w:vAlign w:val="center"/>
          </w:tcPr>
          <w:p w14:paraId="2A87C21A" w14:textId="77777777" w:rsidR="00974C73" w:rsidRPr="007263C1" w:rsidRDefault="00974C73" w:rsidP="009206B1">
            <w:pPr>
              <w:jc w:val="center"/>
              <w:rPr>
                <w:rFonts w:asciiTheme="minorHAnsi" w:hAnsiTheme="minorHAnsi" w:cstheme="minorHAnsi"/>
                <w:kern w:val="18"/>
                <w:sz w:val="18"/>
                <w:szCs w:val="18"/>
                <w:lang w:val="fr-CA"/>
              </w:rPr>
            </w:pPr>
            <w:r w:rsidRPr="007263C1">
              <w:rPr>
                <w:rFonts w:asciiTheme="minorHAnsi" w:eastAsia="Calibri" w:hAnsiTheme="minorHAnsi" w:cstheme="minorHAnsi"/>
                <w:kern w:val="18"/>
                <w:sz w:val="18"/>
                <w:szCs w:val="18"/>
                <w:lang w:val="fr-CA"/>
              </w:rPr>
              <w:t>19 h-21 h</w:t>
            </w:r>
          </w:p>
        </w:tc>
        <w:tc>
          <w:tcPr>
            <w:tcW w:w="1849" w:type="dxa"/>
            <w:gridSpan w:val="2"/>
            <w:tcBorders>
              <w:top w:val="single" w:sz="4" w:space="0" w:color="E1E1E1"/>
              <w:left w:val="single" w:sz="4" w:space="0" w:color="E1E1E1"/>
              <w:bottom w:val="single" w:sz="4" w:space="0" w:color="E1E1E1"/>
              <w:right w:val="single" w:sz="4" w:space="0" w:color="E1E1E1"/>
            </w:tcBorders>
            <w:vAlign w:val="center"/>
          </w:tcPr>
          <w:p w14:paraId="352E1F83" w14:textId="77777777" w:rsidR="00974C73" w:rsidRPr="007263C1" w:rsidRDefault="00974C73" w:rsidP="009206B1">
            <w:pPr>
              <w:jc w:val="center"/>
              <w:rPr>
                <w:rFonts w:asciiTheme="minorHAnsi" w:hAnsiTheme="minorHAnsi" w:cstheme="minorHAnsi"/>
                <w:kern w:val="18"/>
                <w:sz w:val="18"/>
                <w:szCs w:val="18"/>
                <w:lang w:val="fr-CA"/>
              </w:rPr>
            </w:pPr>
            <w:bookmarkStart w:id="38" w:name="lt_pId136"/>
            <w:r w:rsidRPr="007263C1">
              <w:rPr>
                <w:rFonts w:asciiTheme="minorHAnsi" w:hAnsiTheme="minorHAnsi" w:cstheme="minorHAnsi"/>
                <w:kern w:val="18"/>
                <w:sz w:val="18"/>
                <w:szCs w:val="18"/>
                <w:lang w:val="fr-CA"/>
              </w:rPr>
              <w:t>Population générale + Autochtones</w:t>
            </w:r>
            <w:bookmarkEnd w:id="38"/>
          </w:p>
        </w:tc>
        <w:tc>
          <w:tcPr>
            <w:tcW w:w="1421" w:type="dxa"/>
            <w:tcBorders>
              <w:top w:val="single" w:sz="4" w:space="0" w:color="E1E1E1"/>
              <w:left w:val="single" w:sz="4" w:space="0" w:color="E1E1E1"/>
              <w:bottom w:val="single" w:sz="4" w:space="0" w:color="E1E1E1"/>
              <w:right w:val="single" w:sz="4" w:space="0" w:color="E1E1E1"/>
            </w:tcBorders>
            <w:vAlign w:val="center"/>
          </w:tcPr>
          <w:p w14:paraId="457BA3AE" w14:textId="77777777" w:rsidR="00974C73" w:rsidRPr="007263C1" w:rsidRDefault="00974C73" w:rsidP="009206B1">
            <w:pPr>
              <w:jc w:val="center"/>
              <w:rPr>
                <w:rFonts w:asciiTheme="minorHAnsi" w:hAnsiTheme="minorHAnsi" w:cstheme="minorHAnsi"/>
                <w:kern w:val="18"/>
                <w:sz w:val="18"/>
                <w:szCs w:val="18"/>
                <w:lang w:val="fr-CA"/>
              </w:rPr>
            </w:pPr>
            <w:r w:rsidRPr="007263C1">
              <w:rPr>
                <w:rFonts w:asciiTheme="minorHAnsi" w:hAnsiTheme="minorHAnsi" w:cstheme="minorHAnsi"/>
                <w:kern w:val="18"/>
                <w:sz w:val="18"/>
                <w:szCs w:val="18"/>
                <w:lang w:val="fr-CA"/>
              </w:rPr>
              <w:t>6</w:t>
            </w:r>
          </w:p>
        </w:tc>
      </w:tr>
      <w:tr w:rsidR="00974C73" w:rsidRPr="007263C1" w14:paraId="12545A8A" w14:textId="77777777" w:rsidTr="009206B1">
        <w:trPr>
          <w:trHeight w:val="290"/>
        </w:trPr>
        <w:tc>
          <w:tcPr>
            <w:tcW w:w="1659" w:type="dxa"/>
            <w:tcBorders>
              <w:top w:val="single" w:sz="4" w:space="0" w:color="E1E1E1"/>
              <w:left w:val="single" w:sz="4" w:space="0" w:color="E1E1E1"/>
              <w:bottom w:val="single" w:sz="4" w:space="0" w:color="E1E1E1"/>
              <w:right w:val="single" w:sz="4" w:space="0" w:color="E1E1E1"/>
            </w:tcBorders>
            <w:vAlign w:val="center"/>
          </w:tcPr>
          <w:p w14:paraId="31749C47" w14:textId="77777777" w:rsidR="00974C73" w:rsidRPr="007263C1" w:rsidRDefault="00974C73" w:rsidP="009206B1">
            <w:pPr>
              <w:jc w:val="center"/>
              <w:rPr>
                <w:rFonts w:asciiTheme="minorHAnsi" w:hAnsiTheme="minorHAnsi" w:cstheme="minorHAnsi"/>
                <w:kern w:val="18"/>
                <w:sz w:val="18"/>
                <w:szCs w:val="18"/>
                <w:lang w:val="fr-CA"/>
              </w:rPr>
            </w:pPr>
            <w:r w:rsidRPr="007263C1">
              <w:rPr>
                <w:rFonts w:asciiTheme="minorHAnsi" w:hAnsiTheme="minorHAnsi" w:cstheme="minorHAnsi"/>
                <w:kern w:val="18"/>
                <w:sz w:val="18"/>
                <w:szCs w:val="18"/>
                <w:lang w:val="fr-CA"/>
              </w:rPr>
              <w:t>Victoria/Nanaimo</w:t>
            </w:r>
          </w:p>
        </w:tc>
        <w:tc>
          <w:tcPr>
            <w:tcW w:w="955" w:type="dxa"/>
            <w:tcBorders>
              <w:top w:val="single" w:sz="4" w:space="0" w:color="E1E1E1"/>
              <w:left w:val="single" w:sz="4" w:space="0" w:color="E1E1E1"/>
              <w:bottom w:val="single" w:sz="4" w:space="0" w:color="E1E1E1"/>
              <w:right w:val="single" w:sz="4" w:space="0" w:color="E1E1E1"/>
            </w:tcBorders>
            <w:vAlign w:val="center"/>
          </w:tcPr>
          <w:p w14:paraId="619C0B5C" w14:textId="77777777" w:rsidR="00974C73" w:rsidRPr="007263C1" w:rsidRDefault="00974C73" w:rsidP="009206B1">
            <w:pPr>
              <w:jc w:val="center"/>
              <w:rPr>
                <w:rFonts w:asciiTheme="minorHAnsi" w:hAnsiTheme="minorHAnsi" w:cstheme="minorHAnsi"/>
                <w:kern w:val="18"/>
                <w:sz w:val="18"/>
                <w:szCs w:val="18"/>
                <w:lang w:val="fr-CA"/>
              </w:rPr>
            </w:pPr>
            <w:r w:rsidRPr="007263C1">
              <w:rPr>
                <w:rFonts w:asciiTheme="minorHAnsi" w:hAnsiTheme="minorHAnsi" w:cstheme="minorHAnsi"/>
                <w:kern w:val="18"/>
                <w:sz w:val="18"/>
                <w:szCs w:val="18"/>
                <w:lang w:val="fr-CA"/>
              </w:rPr>
              <w:t>9</w:t>
            </w:r>
          </w:p>
        </w:tc>
        <w:tc>
          <w:tcPr>
            <w:tcW w:w="1078" w:type="dxa"/>
            <w:tcBorders>
              <w:top w:val="single" w:sz="4" w:space="0" w:color="E1E1E1"/>
              <w:left w:val="single" w:sz="4" w:space="0" w:color="E1E1E1"/>
              <w:bottom w:val="single" w:sz="4" w:space="0" w:color="E1E1E1"/>
              <w:right w:val="single" w:sz="4" w:space="0" w:color="E1E1E1"/>
            </w:tcBorders>
            <w:vAlign w:val="center"/>
          </w:tcPr>
          <w:p w14:paraId="3A6CB1C6" w14:textId="77777777" w:rsidR="00974C73" w:rsidRPr="007263C1" w:rsidRDefault="00974C73" w:rsidP="009206B1">
            <w:pPr>
              <w:jc w:val="center"/>
              <w:rPr>
                <w:rFonts w:asciiTheme="minorHAnsi" w:hAnsiTheme="minorHAnsi" w:cstheme="minorHAnsi"/>
                <w:kern w:val="18"/>
                <w:sz w:val="18"/>
                <w:szCs w:val="18"/>
                <w:lang w:val="fr-CA"/>
              </w:rPr>
            </w:pPr>
            <w:r w:rsidRPr="007263C1">
              <w:rPr>
                <w:rFonts w:asciiTheme="minorHAnsi" w:eastAsia="Calibri" w:hAnsiTheme="minorHAnsi" w:cstheme="minorHAnsi"/>
                <w:kern w:val="18"/>
                <w:sz w:val="18"/>
                <w:szCs w:val="18"/>
                <w:lang w:val="fr-CA"/>
              </w:rPr>
              <w:t>Anglais</w:t>
            </w:r>
          </w:p>
        </w:tc>
        <w:tc>
          <w:tcPr>
            <w:tcW w:w="1079" w:type="dxa"/>
            <w:tcBorders>
              <w:top w:val="single" w:sz="4" w:space="0" w:color="E1E1E1"/>
              <w:left w:val="single" w:sz="4" w:space="0" w:color="E1E1E1"/>
              <w:bottom w:val="single" w:sz="4" w:space="0" w:color="E1E1E1"/>
              <w:right w:val="single" w:sz="4" w:space="0" w:color="E1E1E1"/>
            </w:tcBorders>
            <w:vAlign w:val="center"/>
          </w:tcPr>
          <w:p w14:paraId="76ECBB3D" w14:textId="77777777" w:rsidR="00974C73" w:rsidRPr="007263C1" w:rsidRDefault="00974C73" w:rsidP="009206B1">
            <w:pPr>
              <w:jc w:val="center"/>
              <w:rPr>
                <w:rFonts w:asciiTheme="minorHAnsi" w:hAnsiTheme="minorHAnsi" w:cstheme="minorHAnsi"/>
                <w:kern w:val="18"/>
                <w:sz w:val="18"/>
                <w:szCs w:val="18"/>
                <w:lang w:val="fr-CA"/>
              </w:rPr>
            </w:pPr>
            <w:bookmarkStart w:id="39" w:name="lt_pId141"/>
            <w:r w:rsidRPr="007263C1">
              <w:rPr>
                <w:rFonts w:asciiTheme="minorHAnsi" w:hAnsiTheme="minorHAnsi" w:cstheme="minorHAnsi"/>
                <w:kern w:val="18"/>
                <w:sz w:val="18"/>
                <w:szCs w:val="18"/>
                <w:lang w:val="fr-CA"/>
              </w:rPr>
              <w:t>17</w:t>
            </w:r>
            <w:bookmarkEnd w:id="39"/>
            <w:r w:rsidRPr="007263C1">
              <w:rPr>
                <w:rFonts w:asciiTheme="minorHAnsi" w:hAnsiTheme="minorHAnsi" w:cstheme="minorHAnsi"/>
                <w:kern w:val="18"/>
                <w:sz w:val="18"/>
                <w:szCs w:val="18"/>
                <w:lang w:val="fr-CA"/>
              </w:rPr>
              <w:t> juin</w:t>
            </w:r>
          </w:p>
        </w:tc>
        <w:tc>
          <w:tcPr>
            <w:tcW w:w="1540" w:type="dxa"/>
            <w:tcBorders>
              <w:top w:val="single" w:sz="4" w:space="0" w:color="E1E1E1"/>
              <w:left w:val="single" w:sz="4" w:space="0" w:color="E1E1E1"/>
              <w:bottom w:val="single" w:sz="4" w:space="0" w:color="E1E1E1"/>
              <w:right w:val="single" w:sz="4" w:space="0" w:color="E1E1E1"/>
            </w:tcBorders>
            <w:vAlign w:val="center"/>
          </w:tcPr>
          <w:p w14:paraId="72D809D8" w14:textId="77777777" w:rsidR="00974C73" w:rsidRPr="007263C1" w:rsidRDefault="00974C73" w:rsidP="009206B1">
            <w:pPr>
              <w:jc w:val="center"/>
              <w:rPr>
                <w:rFonts w:asciiTheme="minorHAnsi" w:hAnsiTheme="minorHAnsi" w:cstheme="minorHAnsi"/>
                <w:kern w:val="18"/>
                <w:sz w:val="18"/>
                <w:szCs w:val="18"/>
                <w:lang w:val="fr-CA"/>
              </w:rPr>
            </w:pPr>
            <w:r w:rsidRPr="007263C1">
              <w:rPr>
                <w:rFonts w:asciiTheme="minorHAnsi" w:hAnsiTheme="minorHAnsi" w:cstheme="minorHAnsi"/>
                <w:kern w:val="18"/>
                <w:sz w:val="18"/>
                <w:szCs w:val="18"/>
                <w:lang w:val="fr-CA"/>
              </w:rPr>
              <w:t>20 h-22 h</w:t>
            </w:r>
          </w:p>
        </w:tc>
        <w:tc>
          <w:tcPr>
            <w:tcW w:w="1849" w:type="dxa"/>
            <w:gridSpan w:val="2"/>
            <w:tcBorders>
              <w:top w:val="single" w:sz="4" w:space="0" w:color="E1E1E1"/>
              <w:left w:val="single" w:sz="4" w:space="0" w:color="E1E1E1"/>
              <w:bottom w:val="single" w:sz="4" w:space="0" w:color="E1E1E1"/>
              <w:right w:val="single" w:sz="4" w:space="0" w:color="E1E1E1"/>
            </w:tcBorders>
            <w:vAlign w:val="center"/>
          </w:tcPr>
          <w:p w14:paraId="64FE98E1" w14:textId="77777777" w:rsidR="00974C73" w:rsidRPr="007263C1" w:rsidRDefault="00974C73" w:rsidP="009206B1">
            <w:pPr>
              <w:jc w:val="center"/>
              <w:rPr>
                <w:rFonts w:asciiTheme="minorHAnsi" w:hAnsiTheme="minorHAnsi" w:cstheme="minorHAnsi"/>
                <w:kern w:val="18"/>
                <w:sz w:val="18"/>
                <w:szCs w:val="18"/>
                <w:lang w:val="fr-CA"/>
              </w:rPr>
            </w:pPr>
            <w:r w:rsidRPr="007263C1">
              <w:rPr>
                <w:rFonts w:asciiTheme="minorHAnsi" w:hAnsiTheme="minorHAnsi" w:cstheme="minorHAnsi"/>
                <w:kern w:val="18"/>
                <w:sz w:val="18"/>
                <w:szCs w:val="18"/>
                <w:lang w:val="fr-CA"/>
              </w:rPr>
              <w:t>Population générale</w:t>
            </w:r>
          </w:p>
        </w:tc>
        <w:tc>
          <w:tcPr>
            <w:tcW w:w="1421" w:type="dxa"/>
            <w:tcBorders>
              <w:top w:val="single" w:sz="4" w:space="0" w:color="E1E1E1"/>
              <w:left w:val="single" w:sz="4" w:space="0" w:color="E1E1E1"/>
              <w:bottom w:val="single" w:sz="4" w:space="0" w:color="E1E1E1"/>
              <w:right w:val="single" w:sz="4" w:space="0" w:color="E1E1E1"/>
            </w:tcBorders>
            <w:vAlign w:val="center"/>
          </w:tcPr>
          <w:p w14:paraId="163BE1DB" w14:textId="77777777" w:rsidR="00974C73" w:rsidRPr="007263C1" w:rsidRDefault="00974C73" w:rsidP="009206B1">
            <w:pPr>
              <w:jc w:val="center"/>
              <w:rPr>
                <w:rFonts w:asciiTheme="minorHAnsi" w:hAnsiTheme="minorHAnsi" w:cstheme="minorHAnsi"/>
                <w:kern w:val="18"/>
                <w:sz w:val="18"/>
                <w:szCs w:val="18"/>
                <w:lang w:val="fr-CA"/>
              </w:rPr>
            </w:pPr>
            <w:r w:rsidRPr="007263C1">
              <w:rPr>
                <w:rFonts w:asciiTheme="minorHAnsi" w:hAnsiTheme="minorHAnsi" w:cstheme="minorHAnsi"/>
                <w:kern w:val="18"/>
                <w:sz w:val="18"/>
                <w:szCs w:val="18"/>
                <w:lang w:val="fr-CA"/>
              </w:rPr>
              <w:t>6</w:t>
            </w:r>
          </w:p>
        </w:tc>
      </w:tr>
      <w:tr w:rsidR="00974C73" w:rsidRPr="007263C1" w14:paraId="378A6BFA" w14:textId="77777777" w:rsidTr="009206B1">
        <w:trPr>
          <w:trHeight w:val="290"/>
        </w:trPr>
        <w:tc>
          <w:tcPr>
            <w:tcW w:w="1659" w:type="dxa"/>
            <w:tcBorders>
              <w:top w:val="single" w:sz="4" w:space="0" w:color="E1E1E1"/>
              <w:left w:val="single" w:sz="4" w:space="0" w:color="E1E1E1"/>
              <w:bottom w:val="single" w:sz="4" w:space="0" w:color="E1E1E1"/>
              <w:right w:val="single" w:sz="4" w:space="0" w:color="E1E1E1"/>
            </w:tcBorders>
            <w:vAlign w:val="center"/>
          </w:tcPr>
          <w:p w14:paraId="49221AA7" w14:textId="77777777" w:rsidR="00974C73" w:rsidRPr="007263C1" w:rsidRDefault="00974C73" w:rsidP="009206B1">
            <w:pPr>
              <w:jc w:val="center"/>
              <w:rPr>
                <w:rFonts w:asciiTheme="minorHAnsi" w:hAnsiTheme="minorHAnsi" w:cstheme="minorHAnsi"/>
                <w:kern w:val="18"/>
                <w:sz w:val="18"/>
                <w:szCs w:val="18"/>
                <w:lang w:val="fr-CA"/>
              </w:rPr>
            </w:pPr>
            <w:r w:rsidRPr="007263C1">
              <w:rPr>
                <w:rFonts w:asciiTheme="minorHAnsi" w:hAnsiTheme="minorHAnsi" w:cstheme="minorHAnsi"/>
                <w:kern w:val="18"/>
                <w:sz w:val="18"/>
                <w:szCs w:val="18"/>
                <w:lang w:val="fr-CA"/>
              </w:rPr>
              <w:t xml:space="preserve">Grande région de Montréal </w:t>
            </w:r>
          </w:p>
        </w:tc>
        <w:tc>
          <w:tcPr>
            <w:tcW w:w="955" w:type="dxa"/>
            <w:tcBorders>
              <w:top w:val="single" w:sz="4" w:space="0" w:color="E1E1E1"/>
              <w:left w:val="single" w:sz="4" w:space="0" w:color="E1E1E1"/>
              <w:bottom w:val="single" w:sz="4" w:space="0" w:color="E1E1E1"/>
              <w:right w:val="single" w:sz="4" w:space="0" w:color="E1E1E1"/>
            </w:tcBorders>
            <w:vAlign w:val="center"/>
          </w:tcPr>
          <w:p w14:paraId="3C654D30" w14:textId="77777777" w:rsidR="00974C73" w:rsidRPr="007263C1" w:rsidRDefault="00974C73" w:rsidP="009206B1">
            <w:pPr>
              <w:jc w:val="center"/>
              <w:rPr>
                <w:rFonts w:asciiTheme="minorHAnsi" w:hAnsiTheme="minorHAnsi" w:cstheme="minorHAnsi"/>
                <w:kern w:val="18"/>
                <w:sz w:val="18"/>
                <w:szCs w:val="18"/>
                <w:lang w:val="fr-CA"/>
              </w:rPr>
            </w:pPr>
            <w:r w:rsidRPr="007263C1">
              <w:rPr>
                <w:rFonts w:asciiTheme="minorHAnsi" w:hAnsiTheme="minorHAnsi" w:cstheme="minorHAnsi"/>
                <w:kern w:val="18"/>
                <w:sz w:val="18"/>
                <w:szCs w:val="18"/>
                <w:lang w:val="fr-CA"/>
              </w:rPr>
              <w:t>10</w:t>
            </w:r>
          </w:p>
        </w:tc>
        <w:tc>
          <w:tcPr>
            <w:tcW w:w="1078" w:type="dxa"/>
            <w:tcBorders>
              <w:top w:val="single" w:sz="4" w:space="0" w:color="E1E1E1"/>
              <w:left w:val="single" w:sz="4" w:space="0" w:color="E1E1E1"/>
              <w:bottom w:val="single" w:sz="4" w:space="0" w:color="E1E1E1"/>
              <w:right w:val="single" w:sz="4" w:space="0" w:color="E1E1E1"/>
            </w:tcBorders>
            <w:vAlign w:val="center"/>
          </w:tcPr>
          <w:p w14:paraId="154F0015" w14:textId="77777777" w:rsidR="00974C73" w:rsidRPr="007263C1" w:rsidRDefault="00974C73" w:rsidP="009206B1">
            <w:pPr>
              <w:jc w:val="center"/>
              <w:rPr>
                <w:rFonts w:asciiTheme="minorHAnsi" w:hAnsiTheme="minorHAnsi" w:cstheme="minorHAnsi"/>
                <w:kern w:val="18"/>
                <w:sz w:val="18"/>
                <w:szCs w:val="18"/>
                <w:lang w:val="fr-CA"/>
              </w:rPr>
            </w:pPr>
            <w:r w:rsidRPr="007263C1">
              <w:rPr>
                <w:rFonts w:asciiTheme="minorHAnsi" w:eastAsia="Calibri" w:hAnsiTheme="minorHAnsi" w:cstheme="minorHAnsi"/>
                <w:kern w:val="18"/>
                <w:sz w:val="18"/>
                <w:szCs w:val="18"/>
                <w:lang w:val="fr-CA"/>
              </w:rPr>
              <w:t>Français</w:t>
            </w:r>
          </w:p>
        </w:tc>
        <w:tc>
          <w:tcPr>
            <w:tcW w:w="1079" w:type="dxa"/>
            <w:tcBorders>
              <w:top w:val="single" w:sz="4" w:space="0" w:color="E1E1E1"/>
              <w:left w:val="single" w:sz="4" w:space="0" w:color="E1E1E1"/>
              <w:bottom w:val="single" w:sz="4" w:space="0" w:color="E1E1E1"/>
              <w:right w:val="single" w:sz="4" w:space="0" w:color="E1E1E1"/>
            </w:tcBorders>
            <w:vAlign w:val="center"/>
          </w:tcPr>
          <w:p w14:paraId="12C2F0B6" w14:textId="77777777" w:rsidR="00974C73" w:rsidRPr="007263C1" w:rsidRDefault="00974C73" w:rsidP="009206B1">
            <w:pPr>
              <w:jc w:val="center"/>
              <w:rPr>
                <w:rFonts w:asciiTheme="minorHAnsi" w:hAnsiTheme="minorHAnsi" w:cstheme="minorHAnsi"/>
                <w:kern w:val="18"/>
                <w:sz w:val="18"/>
                <w:szCs w:val="18"/>
                <w:lang w:val="fr-CA"/>
              </w:rPr>
            </w:pPr>
            <w:bookmarkStart w:id="40" w:name="lt_pId148"/>
            <w:r w:rsidRPr="007263C1">
              <w:rPr>
                <w:rFonts w:asciiTheme="minorHAnsi" w:hAnsiTheme="minorHAnsi" w:cstheme="minorHAnsi"/>
                <w:kern w:val="18"/>
                <w:sz w:val="18"/>
                <w:szCs w:val="18"/>
                <w:lang w:val="fr-CA"/>
              </w:rPr>
              <w:t>23</w:t>
            </w:r>
            <w:bookmarkEnd w:id="40"/>
            <w:r w:rsidRPr="007263C1">
              <w:rPr>
                <w:rFonts w:asciiTheme="minorHAnsi" w:hAnsiTheme="minorHAnsi" w:cstheme="minorHAnsi"/>
                <w:kern w:val="18"/>
                <w:sz w:val="18"/>
                <w:szCs w:val="18"/>
                <w:lang w:val="fr-CA"/>
              </w:rPr>
              <w:t> juin</w:t>
            </w:r>
          </w:p>
        </w:tc>
        <w:tc>
          <w:tcPr>
            <w:tcW w:w="1540" w:type="dxa"/>
            <w:tcBorders>
              <w:top w:val="single" w:sz="4" w:space="0" w:color="E1E1E1"/>
              <w:left w:val="single" w:sz="4" w:space="0" w:color="E1E1E1"/>
              <w:bottom w:val="single" w:sz="4" w:space="0" w:color="E1E1E1"/>
              <w:right w:val="single" w:sz="4" w:space="0" w:color="E1E1E1"/>
            </w:tcBorders>
            <w:vAlign w:val="center"/>
          </w:tcPr>
          <w:p w14:paraId="5B9929BE" w14:textId="77777777" w:rsidR="00974C73" w:rsidRPr="007263C1" w:rsidRDefault="00974C73" w:rsidP="009206B1">
            <w:pPr>
              <w:jc w:val="center"/>
              <w:rPr>
                <w:rFonts w:asciiTheme="minorHAnsi" w:hAnsiTheme="minorHAnsi" w:cstheme="minorHAnsi"/>
                <w:kern w:val="18"/>
                <w:sz w:val="18"/>
                <w:szCs w:val="18"/>
                <w:lang w:val="fr-CA"/>
              </w:rPr>
            </w:pPr>
            <w:r w:rsidRPr="007263C1">
              <w:rPr>
                <w:rFonts w:asciiTheme="minorHAnsi" w:hAnsiTheme="minorHAnsi" w:cstheme="minorHAnsi"/>
                <w:kern w:val="18"/>
                <w:sz w:val="18"/>
                <w:szCs w:val="18"/>
                <w:lang w:val="fr-CA"/>
              </w:rPr>
              <w:t>18 h-20 h</w:t>
            </w:r>
          </w:p>
        </w:tc>
        <w:tc>
          <w:tcPr>
            <w:tcW w:w="1849" w:type="dxa"/>
            <w:gridSpan w:val="2"/>
            <w:tcBorders>
              <w:top w:val="single" w:sz="4" w:space="0" w:color="E1E1E1"/>
              <w:left w:val="single" w:sz="4" w:space="0" w:color="E1E1E1"/>
              <w:bottom w:val="single" w:sz="4" w:space="0" w:color="E1E1E1"/>
              <w:right w:val="single" w:sz="4" w:space="0" w:color="E1E1E1"/>
            </w:tcBorders>
            <w:vAlign w:val="center"/>
          </w:tcPr>
          <w:p w14:paraId="1DE33DA2" w14:textId="77777777" w:rsidR="00974C73" w:rsidRPr="007263C1" w:rsidRDefault="00974C73" w:rsidP="009206B1">
            <w:pPr>
              <w:jc w:val="center"/>
              <w:rPr>
                <w:rFonts w:asciiTheme="minorHAnsi" w:hAnsiTheme="minorHAnsi" w:cstheme="minorHAnsi"/>
                <w:kern w:val="18"/>
                <w:sz w:val="18"/>
                <w:szCs w:val="18"/>
                <w:lang w:val="fr-CA"/>
              </w:rPr>
            </w:pPr>
            <w:bookmarkStart w:id="41" w:name="lt_pId150"/>
            <w:r w:rsidRPr="007263C1">
              <w:rPr>
                <w:rFonts w:asciiTheme="minorHAnsi" w:hAnsiTheme="minorHAnsi" w:cstheme="minorHAnsi"/>
                <w:kern w:val="18"/>
                <w:sz w:val="18"/>
                <w:szCs w:val="18"/>
                <w:lang w:val="fr-CA"/>
              </w:rPr>
              <w:t>Immigrants</w:t>
            </w:r>
            <w:bookmarkEnd w:id="41"/>
            <w:r w:rsidRPr="007263C1">
              <w:rPr>
                <w:rFonts w:asciiTheme="minorHAnsi" w:hAnsiTheme="minorHAnsi" w:cstheme="minorHAnsi"/>
                <w:kern w:val="18"/>
                <w:sz w:val="18"/>
                <w:szCs w:val="18"/>
                <w:lang w:val="fr-CA"/>
              </w:rPr>
              <w:t>, nouveaux arrivants</w:t>
            </w:r>
          </w:p>
        </w:tc>
        <w:tc>
          <w:tcPr>
            <w:tcW w:w="1421" w:type="dxa"/>
            <w:tcBorders>
              <w:top w:val="single" w:sz="4" w:space="0" w:color="E1E1E1"/>
              <w:left w:val="single" w:sz="4" w:space="0" w:color="E1E1E1"/>
              <w:bottom w:val="single" w:sz="4" w:space="0" w:color="E1E1E1"/>
              <w:right w:val="single" w:sz="4" w:space="0" w:color="E1E1E1"/>
            </w:tcBorders>
            <w:vAlign w:val="center"/>
          </w:tcPr>
          <w:p w14:paraId="31C04100" w14:textId="77777777" w:rsidR="00974C73" w:rsidRPr="007263C1" w:rsidRDefault="00974C73" w:rsidP="009206B1">
            <w:pPr>
              <w:jc w:val="center"/>
              <w:rPr>
                <w:rFonts w:asciiTheme="minorHAnsi" w:hAnsiTheme="minorHAnsi" w:cstheme="minorHAnsi"/>
                <w:kern w:val="18"/>
                <w:sz w:val="18"/>
                <w:szCs w:val="18"/>
                <w:lang w:val="fr-CA"/>
              </w:rPr>
            </w:pPr>
            <w:r w:rsidRPr="007263C1">
              <w:rPr>
                <w:rFonts w:asciiTheme="minorHAnsi" w:hAnsiTheme="minorHAnsi" w:cstheme="minorHAnsi"/>
                <w:kern w:val="18"/>
                <w:sz w:val="18"/>
                <w:szCs w:val="18"/>
                <w:lang w:val="fr-CA"/>
              </w:rPr>
              <w:t>6</w:t>
            </w:r>
          </w:p>
        </w:tc>
      </w:tr>
      <w:tr w:rsidR="00974C73" w:rsidRPr="007263C1" w14:paraId="3D85C108" w14:textId="77777777" w:rsidTr="009206B1">
        <w:trPr>
          <w:trHeight w:val="290"/>
        </w:trPr>
        <w:tc>
          <w:tcPr>
            <w:tcW w:w="1659" w:type="dxa"/>
            <w:tcBorders>
              <w:top w:val="single" w:sz="4" w:space="0" w:color="E1E1E1"/>
              <w:left w:val="single" w:sz="4" w:space="0" w:color="E1E1E1"/>
              <w:bottom w:val="single" w:sz="4" w:space="0" w:color="E1E1E1"/>
              <w:right w:val="single" w:sz="4" w:space="0" w:color="E1E1E1"/>
            </w:tcBorders>
            <w:vAlign w:val="center"/>
          </w:tcPr>
          <w:p w14:paraId="545D1A87" w14:textId="77777777" w:rsidR="00974C73" w:rsidRPr="007263C1" w:rsidRDefault="00974C73" w:rsidP="009206B1">
            <w:pPr>
              <w:jc w:val="center"/>
              <w:rPr>
                <w:rFonts w:asciiTheme="minorHAnsi" w:hAnsiTheme="minorHAnsi" w:cstheme="minorHAnsi"/>
                <w:kern w:val="18"/>
                <w:sz w:val="18"/>
                <w:szCs w:val="18"/>
                <w:lang w:val="fr-CA"/>
              </w:rPr>
            </w:pPr>
            <w:r w:rsidRPr="007263C1">
              <w:rPr>
                <w:rFonts w:asciiTheme="minorHAnsi" w:hAnsiTheme="minorHAnsi" w:cstheme="minorHAnsi"/>
                <w:kern w:val="18"/>
                <w:sz w:val="18"/>
                <w:szCs w:val="18"/>
                <w:lang w:val="fr-CA"/>
              </w:rPr>
              <w:t>Canada atlantique</w:t>
            </w:r>
          </w:p>
        </w:tc>
        <w:tc>
          <w:tcPr>
            <w:tcW w:w="955" w:type="dxa"/>
            <w:tcBorders>
              <w:top w:val="single" w:sz="4" w:space="0" w:color="E1E1E1"/>
              <w:left w:val="single" w:sz="4" w:space="0" w:color="E1E1E1"/>
              <w:bottom w:val="single" w:sz="4" w:space="0" w:color="E1E1E1"/>
              <w:right w:val="single" w:sz="4" w:space="0" w:color="E1E1E1"/>
            </w:tcBorders>
            <w:vAlign w:val="center"/>
          </w:tcPr>
          <w:p w14:paraId="12CF9C8A" w14:textId="77777777" w:rsidR="00974C73" w:rsidRPr="007263C1" w:rsidRDefault="00974C73" w:rsidP="009206B1">
            <w:pPr>
              <w:jc w:val="center"/>
              <w:rPr>
                <w:rFonts w:asciiTheme="minorHAnsi" w:hAnsiTheme="minorHAnsi" w:cstheme="minorHAnsi"/>
                <w:kern w:val="18"/>
                <w:sz w:val="18"/>
                <w:szCs w:val="18"/>
                <w:lang w:val="fr-CA"/>
              </w:rPr>
            </w:pPr>
            <w:r w:rsidRPr="007263C1">
              <w:rPr>
                <w:rFonts w:asciiTheme="minorHAnsi" w:hAnsiTheme="minorHAnsi" w:cstheme="minorHAnsi"/>
                <w:kern w:val="18"/>
                <w:sz w:val="18"/>
                <w:szCs w:val="18"/>
                <w:lang w:val="fr-CA"/>
              </w:rPr>
              <w:t>11</w:t>
            </w:r>
          </w:p>
        </w:tc>
        <w:tc>
          <w:tcPr>
            <w:tcW w:w="1078" w:type="dxa"/>
            <w:tcBorders>
              <w:top w:val="single" w:sz="4" w:space="0" w:color="E1E1E1"/>
              <w:left w:val="single" w:sz="4" w:space="0" w:color="E1E1E1"/>
              <w:bottom w:val="single" w:sz="4" w:space="0" w:color="E1E1E1"/>
              <w:right w:val="single" w:sz="4" w:space="0" w:color="E1E1E1"/>
            </w:tcBorders>
            <w:vAlign w:val="center"/>
          </w:tcPr>
          <w:p w14:paraId="41B51866" w14:textId="77777777" w:rsidR="00974C73" w:rsidRPr="007263C1" w:rsidRDefault="00974C73" w:rsidP="009206B1">
            <w:pPr>
              <w:jc w:val="center"/>
              <w:rPr>
                <w:rFonts w:asciiTheme="minorHAnsi" w:hAnsiTheme="minorHAnsi" w:cstheme="minorHAnsi"/>
                <w:kern w:val="18"/>
                <w:sz w:val="18"/>
                <w:szCs w:val="18"/>
                <w:lang w:val="fr-CA"/>
              </w:rPr>
            </w:pPr>
            <w:r w:rsidRPr="007263C1">
              <w:rPr>
                <w:rFonts w:asciiTheme="minorHAnsi" w:eastAsia="Calibri" w:hAnsiTheme="minorHAnsi" w:cstheme="minorHAnsi"/>
                <w:kern w:val="18"/>
                <w:sz w:val="18"/>
                <w:szCs w:val="18"/>
                <w:lang w:val="fr-CA"/>
              </w:rPr>
              <w:t>Anglais</w:t>
            </w:r>
          </w:p>
        </w:tc>
        <w:tc>
          <w:tcPr>
            <w:tcW w:w="1079" w:type="dxa"/>
            <w:tcBorders>
              <w:top w:val="single" w:sz="4" w:space="0" w:color="E1E1E1"/>
              <w:left w:val="single" w:sz="4" w:space="0" w:color="E1E1E1"/>
              <w:bottom w:val="single" w:sz="4" w:space="0" w:color="E1E1E1"/>
              <w:right w:val="single" w:sz="4" w:space="0" w:color="E1E1E1"/>
            </w:tcBorders>
            <w:vAlign w:val="center"/>
          </w:tcPr>
          <w:p w14:paraId="5B75D8B8" w14:textId="77777777" w:rsidR="00974C73" w:rsidRPr="007263C1" w:rsidRDefault="00974C73" w:rsidP="009206B1">
            <w:pPr>
              <w:jc w:val="center"/>
              <w:rPr>
                <w:rFonts w:asciiTheme="minorHAnsi" w:hAnsiTheme="minorHAnsi" w:cstheme="minorHAnsi"/>
                <w:kern w:val="18"/>
                <w:sz w:val="18"/>
                <w:szCs w:val="18"/>
                <w:lang w:val="fr-CA"/>
              </w:rPr>
            </w:pPr>
            <w:bookmarkStart w:id="42" w:name="lt_pId155"/>
            <w:r w:rsidRPr="007263C1">
              <w:rPr>
                <w:rFonts w:asciiTheme="minorHAnsi" w:hAnsiTheme="minorHAnsi" w:cstheme="minorHAnsi"/>
                <w:kern w:val="18"/>
                <w:sz w:val="18"/>
                <w:szCs w:val="18"/>
                <w:lang w:val="fr-CA"/>
              </w:rPr>
              <w:t>25</w:t>
            </w:r>
            <w:bookmarkEnd w:id="42"/>
            <w:r w:rsidRPr="007263C1">
              <w:rPr>
                <w:rFonts w:asciiTheme="minorHAnsi" w:hAnsiTheme="minorHAnsi" w:cstheme="minorHAnsi"/>
                <w:kern w:val="18"/>
                <w:sz w:val="18"/>
                <w:szCs w:val="18"/>
                <w:lang w:val="fr-CA"/>
              </w:rPr>
              <w:t> juin</w:t>
            </w:r>
          </w:p>
        </w:tc>
        <w:tc>
          <w:tcPr>
            <w:tcW w:w="1540" w:type="dxa"/>
            <w:tcBorders>
              <w:top w:val="single" w:sz="4" w:space="0" w:color="E1E1E1"/>
              <w:left w:val="single" w:sz="4" w:space="0" w:color="E1E1E1"/>
              <w:bottom w:val="single" w:sz="4" w:space="0" w:color="E1E1E1"/>
              <w:right w:val="single" w:sz="4" w:space="0" w:color="E1E1E1"/>
            </w:tcBorders>
            <w:vAlign w:val="center"/>
          </w:tcPr>
          <w:p w14:paraId="5307F89D" w14:textId="77777777" w:rsidR="00974C73" w:rsidRPr="007263C1" w:rsidRDefault="00974C73" w:rsidP="009206B1">
            <w:pPr>
              <w:jc w:val="center"/>
              <w:rPr>
                <w:rFonts w:asciiTheme="minorHAnsi" w:hAnsiTheme="minorHAnsi" w:cstheme="minorHAnsi"/>
                <w:kern w:val="18"/>
                <w:sz w:val="18"/>
                <w:szCs w:val="18"/>
                <w:lang w:val="fr-CA"/>
              </w:rPr>
            </w:pPr>
            <w:r w:rsidRPr="007263C1">
              <w:rPr>
                <w:rFonts w:asciiTheme="minorHAnsi" w:eastAsia="Calibri" w:hAnsiTheme="minorHAnsi" w:cstheme="minorHAnsi"/>
                <w:kern w:val="18"/>
                <w:sz w:val="18"/>
                <w:szCs w:val="18"/>
                <w:lang w:val="fr-CA"/>
              </w:rPr>
              <w:t>16 h 30-18 h 30</w:t>
            </w:r>
          </w:p>
        </w:tc>
        <w:tc>
          <w:tcPr>
            <w:tcW w:w="1849" w:type="dxa"/>
            <w:gridSpan w:val="2"/>
            <w:tcBorders>
              <w:top w:val="single" w:sz="4" w:space="0" w:color="E1E1E1"/>
              <w:left w:val="single" w:sz="4" w:space="0" w:color="E1E1E1"/>
              <w:bottom w:val="single" w:sz="4" w:space="0" w:color="E1E1E1"/>
              <w:right w:val="single" w:sz="4" w:space="0" w:color="E1E1E1"/>
            </w:tcBorders>
            <w:vAlign w:val="center"/>
          </w:tcPr>
          <w:p w14:paraId="73D97CD8" w14:textId="77777777" w:rsidR="00974C73" w:rsidRPr="007263C1" w:rsidRDefault="00974C73" w:rsidP="009206B1">
            <w:pPr>
              <w:jc w:val="center"/>
              <w:rPr>
                <w:rFonts w:asciiTheme="minorHAnsi" w:hAnsiTheme="minorHAnsi" w:cstheme="minorHAnsi"/>
                <w:kern w:val="18"/>
                <w:sz w:val="18"/>
                <w:szCs w:val="18"/>
                <w:lang w:val="fr-CA"/>
              </w:rPr>
            </w:pPr>
            <w:r w:rsidRPr="007263C1">
              <w:rPr>
                <w:rFonts w:asciiTheme="minorHAnsi" w:hAnsiTheme="minorHAnsi" w:cstheme="minorHAnsi"/>
                <w:kern w:val="18"/>
                <w:sz w:val="18"/>
                <w:szCs w:val="18"/>
                <w:lang w:val="fr-CA"/>
              </w:rPr>
              <w:t>Population générale</w:t>
            </w:r>
          </w:p>
        </w:tc>
        <w:tc>
          <w:tcPr>
            <w:tcW w:w="1421" w:type="dxa"/>
            <w:tcBorders>
              <w:top w:val="single" w:sz="4" w:space="0" w:color="E1E1E1"/>
              <w:left w:val="single" w:sz="4" w:space="0" w:color="E1E1E1"/>
              <w:bottom w:val="single" w:sz="4" w:space="0" w:color="E1E1E1"/>
              <w:right w:val="single" w:sz="4" w:space="0" w:color="E1E1E1"/>
            </w:tcBorders>
            <w:vAlign w:val="center"/>
          </w:tcPr>
          <w:p w14:paraId="79975430" w14:textId="77777777" w:rsidR="00974C73" w:rsidRPr="007263C1" w:rsidRDefault="00974C73" w:rsidP="009206B1">
            <w:pPr>
              <w:jc w:val="center"/>
              <w:rPr>
                <w:rFonts w:asciiTheme="minorHAnsi" w:hAnsiTheme="minorHAnsi" w:cstheme="minorHAnsi"/>
                <w:kern w:val="18"/>
                <w:sz w:val="18"/>
                <w:szCs w:val="18"/>
                <w:lang w:val="fr-CA"/>
              </w:rPr>
            </w:pPr>
            <w:r w:rsidRPr="007263C1">
              <w:rPr>
                <w:rFonts w:asciiTheme="minorHAnsi" w:hAnsiTheme="minorHAnsi" w:cstheme="minorHAnsi"/>
                <w:kern w:val="18"/>
                <w:sz w:val="18"/>
                <w:szCs w:val="18"/>
                <w:lang w:val="fr-CA"/>
              </w:rPr>
              <w:t>7</w:t>
            </w:r>
          </w:p>
        </w:tc>
      </w:tr>
      <w:tr w:rsidR="00974C73" w:rsidRPr="007263C1" w14:paraId="22E6E8A7" w14:textId="77777777" w:rsidTr="009206B1">
        <w:trPr>
          <w:trHeight w:val="290"/>
        </w:trPr>
        <w:tc>
          <w:tcPr>
            <w:tcW w:w="1659" w:type="dxa"/>
            <w:tcBorders>
              <w:top w:val="single" w:sz="4" w:space="0" w:color="E1E1E1"/>
              <w:left w:val="single" w:sz="4" w:space="0" w:color="E1E1E1"/>
              <w:bottom w:val="single" w:sz="4" w:space="0" w:color="E1E1E1"/>
              <w:right w:val="single" w:sz="4" w:space="0" w:color="E1E1E1"/>
            </w:tcBorders>
            <w:vAlign w:val="center"/>
          </w:tcPr>
          <w:p w14:paraId="4F4B12AB" w14:textId="77777777" w:rsidR="00974C73" w:rsidRPr="007263C1" w:rsidRDefault="00974C73" w:rsidP="009206B1">
            <w:pPr>
              <w:jc w:val="center"/>
              <w:rPr>
                <w:rFonts w:asciiTheme="minorHAnsi" w:hAnsiTheme="minorHAnsi" w:cstheme="minorHAnsi"/>
                <w:kern w:val="18"/>
                <w:sz w:val="18"/>
                <w:szCs w:val="18"/>
                <w:lang w:val="fr-CA"/>
              </w:rPr>
            </w:pPr>
            <w:r w:rsidRPr="007263C1">
              <w:rPr>
                <w:rFonts w:asciiTheme="minorHAnsi" w:hAnsiTheme="minorHAnsi" w:cstheme="minorHAnsi"/>
                <w:kern w:val="18"/>
                <w:sz w:val="18"/>
                <w:szCs w:val="18"/>
                <w:lang w:val="fr-CA"/>
              </w:rPr>
              <w:t>Québec rural</w:t>
            </w:r>
          </w:p>
        </w:tc>
        <w:tc>
          <w:tcPr>
            <w:tcW w:w="955" w:type="dxa"/>
            <w:tcBorders>
              <w:top w:val="single" w:sz="4" w:space="0" w:color="E1E1E1"/>
              <w:left w:val="single" w:sz="4" w:space="0" w:color="E1E1E1"/>
              <w:bottom w:val="single" w:sz="4" w:space="0" w:color="E1E1E1"/>
              <w:right w:val="single" w:sz="4" w:space="0" w:color="E1E1E1"/>
            </w:tcBorders>
            <w:vAlign w:val="center"/>
          </w:tcPr>
          <w:p w14:paraId="0E17FDE5" w14:textId="77777777" w:rsidR="00974C73" w:rsidRPr="007263C1" w:rsidRDefault="00974C73" w:rsidP="009206B1">
            <w:pPr>
              <w:jc w:val="center"/>
              <w:rPr>
                <w:rFonts w:asciiTheme="minorHAnsi" w:hAnsiTheme="minorHAnsi" w:cstheme="minorHAnsi"/>
                <w:kern w:val="18"/>
                <w:sz w:val="18"/>
                <w:szCs w:val="18"/>
                <w:lang w:val="fr-CA"/>
              </w:rPr>
            </w:pPr>
            <w:r w:rsidRPr="007263C1">
              <w:rPr>
                <w:rFonts w:asciiTheme="minorHAnsi" w:hAnsiTheme="minorHAnsi" w:cstheme="minorHAnsi"/>
                <w:kern w:val="18"/>
                <w:sz w:val="18"/>
                <w:szCs w:val="18"/>
                <w:lang w:val="fr-CA"/>
              </w:rPr>
              <w:t>12</w:t>
            </w:r>
          </w:p>
        </w:tc>
        <w:tc>
          <w:tcPr>
            <w:tcW w:w="1078" w:type="dxa"/>
            <w:tcBorders>
              <w:top w:val="single" w:sz="4" w:space="0" w:color="E1E1E1"/>
              <w:left w:val="single" w:sz="4" w:space="0" w:color="E1E1E1"/>
              <w:bottom w:val="single" w:sz="4" w:space="0" w:color="E1E1E1"/>
              <w:right w:val="single" w:sz="4" w:space="0" w:color="E1E1E1"/>
            </w:tcBorders>
            <w:vAlign w:val="center"/>
          </w:tcPr>
          <w:p w14:paraId="4973F084" w14:textId="77777777" w:rsidR="00974C73" w:rsidRPr="007263C1" w:rsidRDefault="00974C73" w:rsidP="009206B1">
            <w:pPr>
              <w:jc w:val="center"/>
              <w:rPr>
                <w:rFonts w:asciiTheme="minorHAnsi" w:hAnsiTheme="minorHAnsi" w:cstheme="minorHAnsi"/>
                <w:kern w:val="18"/>
                <w:sz w:val="18"/>
                <w:szCs w:val="18"/>
                <w:lang w:val="fr-CA"/>
              </w:rPr>
            </w:pPr>
            <w:r w:rsidRPr="007263C1">
              <w:rPr>
                <w:rFonts w:asciiTheme="minorHAnsi" w:eastAsia="Calibri" w:hAnsiTheme="minorHAnsi" w:cstheme="minorHAnsi"/>
                <w:kern w:val="18"/>
                <w:sz w:val="18"/>
                <w:szCs w:val="18"/>
                <w:lang w:val="fr-CA"/>
              </w:rPr>
              <w:t>Français</w:t>
            </w:r>
          </w:p>
        </w:tc>
        <w:tc>
          <w:tcPr>
            <w:tcW w:w="1079" w:type="dxa"/>
            <w:tcBorders>
              <w:top w:val="single" w:sz="4" w:space="0" w:color="E1E1E1"/>
              <w:left w:val="single" w:sz="4" w:space="0" w:color="E1E1E1"/>
              <w:bottom w:val="single" w:sz="4" w:space="0" w:color="E1E1E1"/>
              <w:right w:val="single" w:sz="4" w:space="0" w:color="E1E1E1"/>
            </w:tcBorders>
            <w:vAlign w:val="center"/>
          </w:tcPr>
          <w:p w14:paraId="7FDEC5E0" w14:textId="77777777" w:rsidR="00974C73" w:rsidRPr="007263C1" w:rsidRDefault="00974C73" w:rsidP="009206B1">
            <w:pPr>
              <w:jc w:val="center"/>
              <w:rPr>
                <w:rFonts w:asciiTheme="minorHAnsi" w:hAnsiTheme="minorHAnsi" w:cstheme="minorHAnsi"/>
                <w:kern w:val="18"/>
                <w:sz w:val="18"/>
                <w:szCs w:val="18"/>
                <w:lang w:val="fr-CA"/>
              </w:rPr>
            </w:pPr>
            <w:bookmarkStart w:id="43" w:name="lt_pId162"/>
            <w:r w:rsidRPr="007263C1">
              <w:rPr>
                <w:rFonts w:asciiTheme="minorHAnsi" w:hAnsiTheme="minorHAnsi" w:cstheme="minorHAnsi"/>
                <w:kern w:val="18"/>
                <w:sz w:val="18"/>
                <w:szCs w:val="18"/>
                <w:lang w:val="fr-CA"/>
              </w:rPr>
              <w:t>29</w:t>
            </w:r>
            <w:bookmarkEnd w:id="43"/>
            <w:r w:rsidRPr="007263C1">
              <w:rPr>
                <w:rFonts w:asciiTheme="minorHAnsi" w:hAnsiTheme="minorHAnsi" w:cstheme="minorHAnsi"/>
                <w:kern w:val="18"/>
                <w:sz w:val="18"/>
                <w:szCs w:val="18"/>
                <w:lang w:val="fr-CA"/>
              </w:rPr>
              <w:t> juin</w:t>
            </w:r>
          </w:p>
        </w:tc>
        <w:tc>
          <w:tcPr>
            <w:tcW w:w="1540" w:type="dxa"/>
            <w:tcBorders>
              <w:top w:val="single" w:sz="4" w:space="0" w:color="E1E1E1"/>
              <w:left w:val="single" w:sz="4" w:space="0" w:color="E1E1E1"/>
              <w:bottom w:val="single" w:sz="4" w:space="0" w:color="E1E1E1"/>
              <w:right w:val="single" w:sz="4" w:space="0" w:color="E1E1E1"/>
            </w:tcBorders>
            <w:vAlign w:val="center"/>
          </w:tcPr>
          <w:p w14:paraId="205A1EFC" w14:textId="77777777" w:rsidR="00974C73" w:rsidRPr="007263C1" w:rsidRDefault="00974C73" w:rsidP="009206B1">
            <w:pPr>
              <w:jc w:val="center"/>
              <w:rPr>
                <w:rFonts w:asciiTheme="minorHAnsi" w:hAnsiTheme="minorHAnsi" w:cstheme="minorHAnsi"/>
                <w:kern w:val="18"/>
                <w:sz w:val="18"/>
                <w:szCs w:val="18"/>
                <w:lang w:val="fr-CA"/>
              </w:rPr>
            </w:pPr>
            <w:r w:rsidRPr="007263C1">
              <w:rPr>
                <w:rFonts w:asciiTheme="minorHAnsi" w:hAnsiTheme="minorHAnsi" w:cstheme="minorHAnsi"/>
                <w:kern w:val="18"/>
                <w:sz w:val="18"/>
                <w:szCs w:val="18"/>
                <w:lang w:val="fr-CA"/>
              </w:rPr>
              <w:t>17 h-19 h</w:t>
            </w:r>
          </w:p>
        </w:tc>
        <w:tc>
          <w:tcPr>
            <w:tcW w:w="1849" w:type="dxa"/>
            <w:gridSpan w:val="2"/>
            <w:tcBorders>
              <w:top w:val="single" w:sz="4" w:space="0" w:color="E1E1E1"/>
              <w:left w:val="single" w:sz="4" w:space="0" w:color="E1E1E1"/>
              <w:bottom w:val="single" w:sz="4" w:space="0" w:color="E1E1E1"/>
              <w:right w:val="single" w:sz="4" w:space="0" w:color="E1E1E1"/>
            </w:tcBorders>
            <w:vAlign w:val="center"/>
          </w:tcPr>
          <w:p w14:paraId="3C635FB8" w14:textId="77777777" w:rsidR="00974C73" w:rsidRPr="007263C1" w:rsidRDefault="00974C73" w:rsidP="009206B1">
            <w:pPr>
              <w:jc w:val="center"/>
              <w:rPr>
                <w:rFonts w:asciiTheme="minorHAnsi" w:hAnsiTheme="minorHAnsi" w:cstheme="minorHAnsi"/>
                <w:kern w:val="18"/>
                <w:sz w:val="18"/>
                <w:szCs w:val="18"/>
                <w:lang w:val="fr-CA"/>
              </w:rPr>
            </w:pPr>
            <w:r w:rsidRPr="007263C1">
              <w:rPr>
                <w:rFonts w:asciiTheme="minorHAnsi" w:hAnsiTheme="minorHAnsi" w:cstheme="minorHAnsi"/>
                <w:kern w:val="18"/>
                <w:sz w:val="18"/>
                <w:szCs w:val="18"/>
                <w:lang w:val="fr-CA"/>
              </w:rPr>
              <w:t>Population générale</w:t>
            </w:r>
          </w:p>
        </w:tc>
        <w:tc>
          <w:tcPr>
            <w:tcW w:w="1421" w:type="dxa"/>
            <w:tcBorders>
              <w:top w:val="single" w:sz="4" w:space="0" w:color="E1E1E1"/>
              <w:left w:val="single" w:sz="4" w:space="0" w:color="E1E1E1"/>
              <w:bottom w:val="single" w:sz="4" w:space="0" w:color="E1E1E1"/>
              <w:right w:val="single" w:sz="4" w:space="0" w:color="E1E1E1"/>
            </w:tcBorders>
            <w:vAlign w:val="center"/>
          </w:tcPr>
          <w:p w14:paraId="4B5BFC32" w14:textId="77777777" w:rsidR="00974C73" w:rsidRPr="007263C1" w:rsidRDefault="00974C73" w:rsidP="009206B1">
            <w:pPr>
              <w:jc w:val="center"/>
              <w:rPr>
                <w:rFonts w:asciiTheme="minorHAnsi" w:hAnsiTheme="minorHAnsi" w:cstheme="minorHAnsi"/>
                <w:kern w:val="18"/>
                <w:sz w:val="18"/>
                <w:szCs w:val="18"/>
                <w:lang w:val="fr-CA"/>
              </w:rPr>
            </w:pPr>
            <w:r w:rsidRPr="007263C1">
              <w:rPr>
                <w:rFonts w:asciiTheme="minorHAnsi" w:hAnsiTheme="minorHAnsi" w:cstheme="minorHAnsi"/>
                <w:kern w:val="18"/>
                <w:sz w:val="18"/>
                <w:szCs w:val="18"/>
                <w:lang w:val="fr-CA"/>
              </w:rPr>
              <w:t>5</w:t>
            </w:r>
          </w:p>
        </w:tc>
      </w:tr>
      <w:tr w:rsidR="00974C73" w:rsidRPr="007263C1" w14:paraId="2C1EE431" w14:textId="77777777" w:rsidTr="009206B1">
        <w:trPr>
          <w:trHeight w:val="420"/>
        </w:trPr>
        <w:tc>
          <w:tcPr>
            <w:tcW w:w="8149" w:type="dxa"/>
            <w:gridSpan w:val="6"/>
            <w:tcBorders>
              <w:top w:val="single" w:sz="4" w:space="0" w:color="E1E1E1"/>
              <w:left w:val="single" w:sz="4" w:space="0" w:color="E1E1E1"/>
              <w:bottom w:val="single" w:sz="4" w:space="0" w:color="E1E1E1"/>
              <w:right w:val="single" w:sz="4" w:space="0" w:color="E1E1E1"/>
            </w:tcBorders>
            <w:shd w:val="clear" w:color="auto" w:fill="D6EDF5"/>
            <w:vAlign w:val="center"/>
          </w:tcPr>
          <w:p w14:paraId="0F780405" w14:textId="77777777" w:rsidR="00974C73" w:rsidRPr="007263C1" w:rsidRDefault="00974C73" w:rsidP="009206B1">
            <w:pPr>
              <w:jc w:val="right"/>
              <w:rPr>
                <w:rFonts w:ascii="Calibri" w:hAnsi="Calibri" w:cs="Calibri"/>
                <w:b/>
                <w:kern w:val="18"/>
                <w:szCs w:val="18"/>
                <w:lang w:val="fr-CA"/>
              </w:rPr>
            </w:pPr>
            <w:r w:rsidRPr="007263C1">
              <w:rPr>
                <w:rFonts w:ascii="Calibri" w:eastAsia="Calibri" w:hAnsi="Calibri" w:cs="Calibri"/>
                <w:b/>
                <w:kern w:val="18"/>
                <w:szCs w:val="18"/>
                <w:lang w:val="fr-CA"/>
              </w:rPr>
              <w:t>Nombre total de participants</w:t>
            </w:r>
          </w:p>
        </w:tc>
        <w:tc>
          <w:tcPr>
            <w:tcW w:w="1435" w:type="dxa"/>
            <w:gridSpan w:val="2"/>
            <w:tcBorders>
              <w:top w:val="single" w:sz="4" w:space="0" w:color="E1E1E1"/>
              <w:left w:val="single" w:sz="4" w:space="0" w:color="E1E1E1"/>
              <w:bottom w:val="single" w:sz="4" w:space="0" w:color="E1E1E1"/>
              <w:right w:val="single" w:sz="4" w:space="0" w:color="E1E1E1"/>
            </w:tcBorders>
            <w:shd w:val="clear" w:color="auto" w:fill="D6EDF5"/>
            <w:vAlign w:val="center"/>
          </w:tcPr>
          <w:p w14:paraId="0A3EF3E2" w14:textId="77777777" w:rsidR="00974C73" w:rsidRPr="007263C1" w:rsidRDefault="00974C73" w:rsidP="009206B1">
            <w:pPr>
              <w:jc w:val="center"/>
              <w:rPr>
                <w:rFonts w:ascii="Calibri" w:hAnsi="Calibri" w:cs="Calibri"/>
                <w:b/>
                <w:kern w:val="18"/>
                <w:lang w:val="fr-CA"/>
              </w:rPr>
            </w:pPr>
            <w:r w:rsidRPr="007263C1">
              <w:rPr>
                <w:rFonts w:ascii="Calibri" w:hAnsi="Calibri" w:cs="Calibri"/>
                <w:b/>
                <w:kern w:val="18"/>
                <w:szCs w:val="18"/>
                <w:lang w:val="fr-CA"/>
              </w:rPr>
              <w:t>81</w:t>
            </w:r>
          </w:p>
        </w:tc>
      </w:tr>
    </w:tbl>
    <w:p w14:paraId="38250365" w14:textId="77777777" w:rsidR="00974C73" w:rsidRPr="0096449E" w:rsidRDefault="00974C73" w:rsidP="00974C73">
      <w:pPr>
        <w:rPr>
          <w:lang w:val="fr-CA"/>
        </w:rPr>
      </w:pPr>
    </w:p>
    <w:p w14:paraId="7EFFFA20" w14:textId="77777777" w:rsidR="00974C73" w:rsidRPr="0096449E" w:rsidRDefault="00974C73" w:rsidP="00974C73">
      <w:pPr>
        <w:pStyle w:val="Heading1"/>
        <w:rPr>
          <w:lang w:val="fr-CA"/>
        </w:rPr>
      </w:pPr>
      <w:r w:rsidRPr="0096449E">
        <w:rPr>
          <w:lang w:val="fr-CA"/>
        </w:rPr>
        <w:lastRenderedPageBreak/>
        <w:t>Principales constatations</w:t>
      </w:r>
    </w:p>
    <w:p w14:paraId="3D2BA5EC" w14:textId="77777777" w:rsidR="00974C73" w:rsidRPr="007263C1" w:rsidRDefault="00974C73" w:rsidP="00974C73">
      <w:pPr>
        <w:rPr>
          <w:sz w:val="28"/>
          <w:szCs w:val="24"/>
          <w:lang w:val="fr-CA"/>
        </w:rPr>
      </w:pPr>
      <w:bookmarkStart w:id="44" w:name="lt_pId169"/>
      <w:r w:rsidRPr="007263C1">
        <w:rPr>
          <w:sz w:val="28"/>
          <w:szCs w:val="24"/>
          <w:lang w:val="fr-CA"/>
        </w:rPr>
        <w:t>Partie I : Conclusions relatives à la COVID-19</w:t>
      </w:r>
      <w:bookmarkEnd w:id="44"/>
      <w:r w:rsidRPr="007263C1">
        <w:rPr>
          <w:sz w:val="28"/>
          <w:szCs w:val="24"/>
          <w:lang w:val="fr-CA"/>
        </w:rPr>
        <w:t xml:space="preserve"> </w:t>
      </w:r>
    </w:p>
    <w:p w14:paraId="4E8911CB" w14:textId="77777777" w:rsidR="00974C73" w:rsidRPr="007263C1" w:rsidRDefault="00974C73" w:rsidP="00974C73">
      <w:pPr>
        <w:pStyle w:val="Heading2"/>
        <w:rPr>
          <w:lang w:val="fr-CA"/>
        </w:rPr>
      </w:pPr>
      <w:bookmarkStart w:id="45" w:name="lt_pId170"/>
      <w:bookmarkStart w:id="46" w:name="_Toc49528406"/>
      <w:r w:rsidRPr="007263C1">
        <w:rPr>
          <w:lang w:val="fr-CA"/>
        </w:rPr>
        <w:t>La COVID-19 dans l’actualité et la réponse du gouvernement du Canada (tous les lieux)</w:t>
      </w:r>
      <w:bookmarkEnd w:id="45"/>
      <w:bookmarkEnd w:id="46"/>
      <w:r w:rsidRPr="007263C1">
        <w:rPr>
          <w:lang w:val="fr-CA"/>
        </w:rPr>
        <w:t xml:space="preserve"> </w:t>
      </w:r>
    </w:p>
    <w:p w14:paraId="7B7C8863" w14:textId="77777777" w:rsidR="00974C73" w:rsidRPr="007263C1" w:rsidRDefault="00974C73" w:rsidP="00974C73">
      <w:pPr>
        <w:rPr>
          <w:lang w:val="fr-CA"/>
        </w:rPr>
      </w:pPr>
      <w:bookmarkStart w:id="47" w:name="lt_pId174"/>
      <w:r w:rsidRPr="007263C1">
        <w:rPr>
          <w:lang w:val="fr-CA"/>
        </w:rPr>
        <w:t>En juin, les participants se tenaient encore au courant des nouvelles au sujet de la COVID-19, pour connaître notamment les derniers détails sur la réouverture dans leurs régions respectives. La plupart avaient hâte de revenir à une vie plus active à la suite des mesures de réouverture, mais craignaient néanmoins d’être exposés à un risque accru. Toutefois, il importe de préciser qu’à cette étape de la pandémie, les participants de plusieurs groupes se disaient peu ou moyennement interpellés par les nouvelles sur la COVID-19 et quelques-uns ne les suivaient plus du tout. Tous convenaient que le risque était toujours présent, mais que le « gouvernement » (terme employé de manière générale) s’attelait à relancer l’économie afin d’éviter que les impacts négatifs et les difficultés économiques n’empirent.</w:t>
      </w:r>
      <w:bookmarkEnd w:id="47"/>
      <w:r w:rsidRPr="007263C1">
        <w:rPr>
          <w:lang w:val="fr-CA"/>
        </w:rPr>
        <w:t xml:space="preserve">  </w:t>
      </w:r>
    </w:p>
    <w:p w14:paraId="73893087" w14:textId="77777777" w:rsidR="00974C73" w:rsidRPr="007263C1" w:rsidRDefault="00974C73" w:rsidP="00974C73">
      <w:pPr>
        <w:pStyle w:val="Heading2"/>
        <w:rPr>
          <w:lang w:val="fr-CA"/>
        </w:rPr>
      </w:pPr>
      <w:bookmarkStart w:id="48" w:name="_Toc49528407"/>
      <w:bookmarkStart w:id="49" w:name="lt_pId196"/>
      <w:r w:rsidRPr="007263C1">
        <w:rPr>
          <w:lang w:val="fr-CA"/>
        </w:rPr>
        <w:t>Changements de comportement (tous les lieux, sauf le Québec rural)</w:t>
      </w:r>
      <w:bookmarkEnd w:id="48"/>
    </w:p>
    <w:p w14:paraId="7117A0E7" w14:textId="77777777" w:rsidR="00974C73" w:rsidRPr="007263C1" w:rsidRDefault="00974C73" w:rsidP="00974C73">
      <w:pPr>
        <w:rPr>
          <w:lang w:val="fr-CA"/>
        </w:rPr>
      </w:pPr>
      <w:r w:rsidRPr="007263C1">
        <w:rPr>
          <w:lang w:val="fr-CA"/>
        </w:rPr>
        <w:t>Les participants disaient avoir modifié leurs comportements en réponse à la pandémie, maintenant que diverses provinces avaient mis en branle un plan de réouverture par étapes.</w:t>
      </w:r>
    </w:p>
    <w:p w14:paraId="3284B37B" w14:textId="77777777" w:rsidR="00974C73" w:rsidRPr="007263C1" w:rsidRDefault="00974C73" w:rsidP="00974C73">
      <w:pPr>
        <w:rPr>
          <w:lang w:val="fr-CA"/>
        </w:rPr>
      </w:pPr>
      <w:r w:rsidRPr="007263C1">
        <w:rPr>
          <w:lang w:val="fr-CA"/>
        </w:rPr>
        <w:t>L’ampleur des changements de comportement variait selon les participants, mais dans l’ensemble, ils étaient nombreux à avoir commencé à respecter moins rigoureusement l’isolement à domicile et à sortir plus souvent de chez eux. Beaucoup avaient élargi leur cercle de fréquentations et rendaient désormais visite à des membres de la famille et à des amis, à leur demeure ou dans un café ou un restaurant, tout en continuant à maintenir une distance physique et à se laver et se désinfecter les mains. De plus, ils portaient plus souvent un masque, lorsqu’ils le jugeaient nécessaire (notamment quand la distanciation physique était impossible). Profitant du temps estival, les participants sortaient plus pour faire de l’exercice (p. ex. de la marche), divertir les enfants (p. ex. au parc) ou voyager dans leur propre province (p. ex., pour aller camper). De manière générale, les participants avaient modifié leurs comportements conformément aux directives de leur gouvernement provincial, à mesure qu’il passait à de nouvelles étapes du plan de réouverture.</w:t>
      </w:r>
    </w:p>
    <w:p w14:paraId="27E64F60" w14:textId="77777777" w:rsidR="00974C73" w:rsidRPr="007263C1" w:rsidRDefault="00974C73" w:rsidP="00974C73">
      <w:pPr>
        <w:rPr>
          <w:lang w:val="fr-CA"/>
        </w:rPr>
      </w:pPr>
      <w:r w:rsidRPr="007263C1">
        <w:rPr>
          <w:lang w:val="fr-CA"/>
        </w:rPr>
        <w:t>En parallèle, quelques participants n’avaient pas du tout changé leurs comportements, car ils s’inquiétaient encore des risques ou souhaitaient continuer d’appliquer les nouvelles habitudes développées.</w:t>
      </w:r>
    </w:p>
    <w:p w14:paraId="497FD99C" w14:textId="77777777" w:rsidR="00974C73" w:rsidRPr="007263C1" w:rsidRDefault="00974C73" w:rsidP="00974C73">
      <w:pPr>
        <w:pStyle w:val="Heading3"/>
        <w:rPr>
          <w:lang w:val="fr-CA"/>
        </w:rPr>
      </w:pPr>
      <w:r w:rsidRPr="007263C1">
        <w:rPr>
          <w:lang w:val="fr-CA"/>
        </w:rPr>
        <w:t>Être parent pendant la pandémie de COVID-19</w:t>
      </w:r>
    </w:p>
    <w:p w14:paraId="48CC174E" w14:textId="77777777" w:rsidR="00974C73" w:rsidRPr="007263C1" w:rsidRDefault="00974C73" w:rsidP="00974C73">
      <w:pPr>
        <w:rPr>
          <w:lang w:val="fr-CA"/>
        </w:rPr>
      </w:pPr>
      <w:r w:rsidRPr="007263C1">
        <w:rPr>
          <w:lang w:val="fr-CA"/>
        </w:rPr>
        <w:t xml:space="preserve">Les parents trouvaient difficile de s’adapter aux changements que la pandémie provoquait dans la vie de leurs enfants, tout en conservant une certaine normalité et une routine. Le défi consistait à superviser et divertir leurs enfants tout en vaquant à leur travail. De plus, les parents trouvaient </w:t>
      </w:r>
      <w:r w:rsidRPr="007263C1">
        <w:rPr>
          <w:lang w:val="fr-CA"/>
        </w:rPr>
        <w:lastRenderedPageBreak/>
        <w:t>l’enseignement à domicile en ligne ou la garde des enfants particulièrement exigeants. Pour certains parents, la relation avec leurs enfants était tendue en raison de ces nouveaux rôles. En revanche, certains disaient s’être rapprochés de leurs enfants, car ils avaient pu passer plus de temps avec eux.</w:t>
      </w:r>
    </w:p>
    <w:p w14:paraId="58A6D8D0" w14:textId="77777777" w:rsidR="00974C73" w:rsidRPr="007263C1" w:rsidRDefault="00974C73" w:rsidP="00974C73">
      <w:pPr>
        <w:rPr>
          <w:lang w:val="fr-CA"/>
        </w:rPr>
      </w:pPr>
      <w:r w:rsidRPr="007263C1">
        <w:rPr>
          <w:lang w:val="fr-CA"/>
        </w:rPr>
        <w:t>Dans l’ensemble, les parents ne savaient pas exactement quoi dire à leurs enfants pour éviter qu’ils ne contractent la COVID-19. Les parents de jeunes enfants avaient de la difficulté à leur expliquer le virus en des termes qu’ils arrivent à comprendre. Quant aux parents d’enfants plus âgés, ils se butaient au sentiment d’« invincibilité » chez leurs jeunes, induit entre autres par les messages véhiculés au début de la pandémie sur le faible risque que le virus présente pour ce groupe d’âge, et ils peinaient à leur faire comprendre l’importance de respecter les consignes, comme l’éloignement physique et le port du masque. Les parents d’enfants plus âgés proposaient d’utiliser les médias sociaux pour les interpeller et estimaient que les enseignants et les autres médias étaient plus susceptibles d’avoir un effet sur les comportements des jeunes qu’eux-mêmes.</w:t>
      </w:r>
    </w:p>
    <w:p w14:paraId="13D8765C" w14:textId="77777777" w:rsidR="00974C73" w:rsidRPr="007263C1" w:rsidRDefault="00974C73" w:rsidP="00974C73">
      <w:pPr>
        <w:pStyle w:val="Heading3"/>
        <w:rPr>
          <w:lang w:val="fr-CA"/>
        </w:rPr>
      </w:pPr>
      <w:r w:rsidRPr="007263C1">
        <w:rPr>
          <w:lang w:val="fr-CA"/>
        </w:rPr>
        <w:t xml:space="preserve">Impacts sur les aînés </w:t>
      </w:r>
    </w:p>
    <w:p w14:paraId="7241763E" w14:textId="77777777" w:rsidR="00974C73" w:rsidRPr="007263C1" w:rsidRDefault="00974C73" w:rsidP="00974C73">
      <w:pPr>
        <w:rPr>
          <w:lang w:val="fr-CA"/>
        </w:rPr>
      </w:pPr>
      <w:r w:rsidRPr="007263C1">
        <w:rPr>
          <w:lang w:val="fr-CA"/>
        </w:rPr>
        <w:t xml:space="preserve">Les aînés ont mentionné que la pandémie avait eu toutes sortes de répercussions positives et négatives dans leur vie. Appelés à composer avec une nouvelle situation, certains se disaient fiers de la capacité d’apprentissage et d’adaptation qu’ils avaient démontrée et trouvaient l’isolement plus facile que ce à quoi ils s’attendaient, mais les contacts sociaux leur manquaient et certains trouvaient que le temps d’attente dans les commerces était pénible. </w:t>
      </w:r>
    </w:p>
    <w:p w14:paraId="54622C06" w14:textId="77777777" w:rsidR="00974C73" w:rsidRPr="007263C1" w:rsidRDefault="00974C73" w:rsidP="00974C73">
      <w:pPr>
        <w:rPr>
          <w:lang w:val="fr-CA"/>
        </w:rPr>
      </w:pPr>
      <w:r w:rsidRPr="007263C1">
        <w:rPr>
          <w:lang w:val="fr-CA"/>
        </w:rPr>
        <w:t xml:space="preserve">Quelques aînés se reconnaissaient dans l’expression « population vulnérable », mais celle-ci ne trouvait pas écho chez la plupart des participants. Tous s’entendaient pour dire que les gens de la </w:t>
      </w:r>
      <w:proofErr w:type="spellStart"/>
      <w:r w:rsidRPr="007263C1">
        <w:rPr>
          <w:lang w:val="fr-CA"/>
        </w:rPr>
        <w:t>mi-cinquantaine</w:t>
      </w:r>
      <w:proofErr w:type="spellEnd"/>
      <w:r w:rsidRPr="007263C1">
        <w:rPr>
          <w:lang w:val="fr-CA"/>
        </w:rPr>
        <w:t xml:space="preserve"> sont trop jeunes pour être considérés comme des « aînés » et que cette catégorie devrait s’appliquer plutôt à des personnes dans la soixantaine ou qui ont 70 ans et plus. Nombre d’entre eux ont avancé que ce n’est pas nécessairement leur âge qui les rend vulnérables à la COVID-19, mais bien un éventail d’autres facteurs, y compris leur état de santé.</w:t>
      </w:r>
      <w:bookmarkEnd w:id="49"/>
      <w:r w:rsidRPr="007263C1">
        <w:rPr>
          <w:lang w:val="fr-CA"/>
        </w:rPr>
        <w:t xml:space="preserve"> </w:t>
      </w:r>
    </w:p>
    <w:p w14:paraId="553FB3A0" w14:textId="77777777" w:rsidR="00974C73" w:rsidRPr="007263C1" w:rsidRDefault="00974C73" w:rsidP="00974C73">
      <w:pPr>
        <w:pStyle w:val="Heading2"/>
        <w:rPr>
          <w:szCs w:val="20"/>
          <w:lang w:val="fr-CA"/>
        </w:rPr>
      </w:pPr>
      <w:bookmarkStart w:id="50" w:name="_Toc42591963"/>
      <w:bookmarkStart w:id="51" w:name="lt_pId197"/>
      <w:bookmarkStart w:id="52" w:name="_Toc49528408"/>
      <w:r w:rsidRPr="007263C1">
        <w:rPr>
          <w:lang w:val="fr-CA"/>
        </w:rPr>
        <w:t xml:space="preserve">Réouverture </w:t>
      </w:r>
      <w:bookmarkEnd w:id="50"/>
      <w:r w:rsidRPr="007263C1">
        <w:rPr>
          <w:bCs/>
          <w:szCs w:val="20"/>
          <w:lang w:val="fr-CA"/>
        </w:rPr>
        <w:t>(aînés de grandes villes ontariennes, bénéficiaires de la PCU du Québec, parents de Vancouver, villes ontariennes de taille moyenne, nord des Prairies, Victoria et Nanaimo, nouveaux arrivants de la GRM)</w:t>
      </w:r>
      <w:bookmarkEnd w:id="51"/>
      <w:bookmarkEnd w:id="52"/>
      <w:r w:rsidRPr="007263C1">
        <w:rPr>
          <w:szCs w:val="20"/>
          <w:lang w:val="fr-CA"/>
        </w:rPr>
        <w:t xml:space="preserve"> </w:t>
      </w:r>
    </w:p>
    <w:p w14:paraId="07DAEBFA" w14:textId="77777777" w:rsidR="00974C73" w:rsidRPr="007263C1" w:rsidRDefault="00974C73" w:rsidP="00974C73">
      <w:pPr>
        <w:rPr>
          <w:lang w:val="fr-CA"/>
        </w:rPr>
      </w:pPr>
      <w:bookmarkStart w:id="53" w:name="lt_pId198"/>
      <w:r w:rsidRPr="007263C1">
        <w:rPr>
          <w:lang w:val="fr-CA"/>
        </w:rPr>
        <w:t>Au cours du mois de juin, les provinces et territoires canadiens en étaient à différentes étapes de leur réouverture, certaines nettement plus avancées que d’autres.</w:t>
      </w:r>
      <w:bookmarkEnd w:id="53"/>
      <w:r w:rsidRPr="007263C1">
        <w:rPr>
          <w:lang w:val="fr-CA"/>
        </w:rPr>
        <w:t xml:space="preserve"> </w:t>
      </w:r>
      <w:bookmarkStart w:id="54" w:name="lt_pId199"/>
      <w:r w:rsidRPr="007263C1">
        <w:rPr>
          <w:lang w:val="fr-CA"/>
        </w:rPr>
        <w:t>De nombreux participants avaient attendu avec impatience d’en arriver à ce stade, mais ils tenaient néanmoins à ce que les gouvernements fassent montre de prudence et poursuivent le processus à un rythme lent et mesuré.</w:t>
      </w:r>
      <w:bookmarkEnd w:id="54"/>
    </w:p>
    <w:p w14:paraId="749B8A0B" w14:textId="77777777" w:rsidR="00974C73" w:rsidRPr="007263C1" w:rsidRDefault="00974C73" w:rsidP="00974C73">
      <w:pPr>
        <w:rPr>
          <w:lang w:val="fr-CA"/>
        </w:rPr>
      </w:pPr>
      <w:bookmarkStart w:id="55" w:name="lt_pId200"/>
      <w:r w:rsidRPr="007263C1">
        <w:rPr>
          <w:lang w:val="fr-CA"/>
        </w:rPr>
        <w:t>Les participants de la Colombie-Britannique étaient les plus optimistes à l’égard de la réouverture et faisaient confiance à la province dans sa gestion de la situation.</w:t>
      </w:r>
      <w:bookmarkEnd w:id="55"/>
      <w:r w:rsidRPr="007263C1">
        <w:rPr>
          <w:lang w:val="fr-CA"/>
        </w:rPr>
        <w:t xml:space="preserve"> </w:t>
      </w:r>
      <w:bookmarkStart w:id="56" w:name="lt_pId201"/>
      <w:r w:rsidRPr="007263C1">
        <w:rPr>
          <w:lang w:val="fr-CA"/>
        </w:rPr>
        <w:t>Ceux du Canada atlantique et du nord des Prairies y étaient tout aussi favorables, mais l’éventualité qu’un relâchement des mesures de précaution et une hausse des déplacements interprovinciaux entraînent une résurgence du virus les rendait un peu nerveux</w:t>
      </w:r>
      <w:bookmarkEnd w:id="56"/>
      <w:r w:rsidRPr="007263C1">
        <w:rPr>
          <w:lang w:val="fr-CA"/>
        </w:rPr>
        <w:t xml:space="preserve">. </w:t>
      </w:r>
      <w:bookmarkStart w:id="57" w:name="lt_pId202"/>
      <w:r w:rsidRPr="007263C1">
        <w:rPr>
          <w:lang w:val="fr-CA"/>
        </w:rPr>
        <w:t xml:space="preserve">En comparaison, les résidents de l’Ontario avaient des opinions plus partagées, principalement en raison de l’ambiguïté perçue des règles ou des orientations relatives aux </w:t>
      </w:r>
      <w:r w:rsidRPr="007263C1">
        <w:rPr>
          <w:lang w:val="fr-CA"/>
        </w:rPr>
        <w:lastRenderedPageBreak/>
        <w:t>protocoles de santé et de sécurité prévus pour les entreprises et les particuliers</w:t>
      </w:r>
      <w:bookmarkEnd w:id="57"/>
      <w:r w:rsidRPr="007263C1">
        <w:rPr>
          <w:lang w:val="fr-CA"/>
        </w:rPr>
        <w:t xml:space="preserve">. Les commentaires des participants du Québec, quant à eux, trahissaient une appréhension </w:t>
      </w:r>
      <w:bookmarkStart w:id="58" w:name="lt_pId203"/>
      <w:r w:rsidRPr="007263C1">
        <w:rPr>
          <w:lang w:val="fr-CA"/>
        </w:rPr>
        <w:t>palpable concernant le calendrier de réouverture et les risques afférents.</w:t>
      </w:r>
      <w:bookmarkEnd w:id="58"/>
    </w:p>
    <w:p w14:paraId="0E0BB8FE" w14:textId="77777777" w:rsidR="00974C73" w:rsidRPr="007263C1" w:rsidRDefault="00974C73" w:rsidP="00974C73">
      <w:pPr>
        <w:rPr>
          <w:lang w:val="fr-CA"/>
        </w:rPr>
      </w:pPr>
      <w:bookmarkStart w:id="59" w:name="lt_pId204"/>
      <w:r w:rsidRPr="007263C1">
        <w:rPr>
          <w:lang w:val="fr-CA"/>
        </w:rPr>
        <w:t>Des participants de tous les groupes ont dit craindre un certain laxisme dans l’application des mesures de santé et de sécurité, en particulier les mesures visant les rassemblements et la distanciation sociale.</w:t>
      </w:r>
      <w:bookmarkEnd w:id="59"/>
      <w:r w:rsidRPr="007263C1">
        <w:rPr>
          <w:lang w:val="fr-CA"/>
        </w:rPr>
        <w:t xml:space="preserve"> </w:t>
      </w:r>
      <w:bookmarkStart w:id="60" w:name="lt_pId205"/>
      <w:r w:rsidRPr="007263C1">
        <w:rPr>
          <w:lang w:val="fr-CA"/>
        </w:rPr>
        <w:t>D’autres ne savaient pas exactement dans quelles circonstances il fallait porter un masque et cherchaient à obtenir des informations supplémentaires dans leur région.</w:t>
      </w:r>
      <w:bookmarkEnd w:id="60"/>
      <w:r w:rsidRPr="007263C1">
        <w:rPr>
          <w:lang w:val="fr-CA"/>
        </w:rPr>
        <w:t xml:space="preserve"> </w:t>
      </w:r>
      <w:bookmarkStart w:id="61" w:name="lt_pId206"/>
      <w:r w:rsidRPr="007263C1">
        <w:rPr>
          <w:lang w:val="fr-CA"/>
        </w:rPr>
        <w:t>Plusieurs participants ont fait état d’un certain malaise à l’idée de reprendre leurs activités « normales ». Il s’agissait souvent de personnes considérées comme étant « plus à risque », notamment des aînés, des parents ou de futurs parents et des personnes ayant des problèmes de santé.</w:t>
      </w:r>
      <w:bookmarkEnd w:id="61"/>
      <w:r w:rsidRPr="007263C1">
        <w:rPr>
          <w:lang w:val="fr-CA"/>
        </w:rPr>
        <w:t xml:space="preserve">   </w:t>
      </w:r>
    </w:p>
    <w:p w14:paraId="72C49873" w14:textId="77777777" w:rsidR="00974C73" w:rsidRPr="007263C1" w:rsidRDefault="00974C73" w:rsidP="00974C73">
      <w:pPr>
        <w:pStyle w:val="Heading2"/>
        <w:rPr>
          <w:lang w:val="fr-CA"/>
        </w:rPr>
      </w:pPr>
      <w:bookmarkStart w:id="62" w:name="lt_pId207"/>
      <w:bookmarkStart w:id="63" w:name="_Toc49528409"/>
      <w:r w:rsidRPr="007263C1">
        <w:rPr>
          <w:lang w:val="fr-CA"/>
        </w:rPr>
        <w:t>Impacts économiques (parents de la RGT, bénéficiaires de la PCU de petites villes et de villes de taille moyenne de l’Alberta, aînés de Montréal, aînés de grandes villes ontariennes, bénéficiaires de la PCU de petites villes et de villes de taille moyenne du Québec, parents de Vancouver, villes ontariennes de taille moyenne, nord des Prairies, Victoria et Nanaimo, nouveaux arrivants de la GRM)</w:t>
      </w:r>
      <w:bookmarkEnd w:id="62"/>
      <w:bookmarkEnd w:id="63"/>
    </w:p>
    <w:p w14:paraId="7B196C1C" w14:textId="77777777" w:rsidR="00974C73" w:rsidRPr="007263C1" w:rsidRDefault="00974C73" w:rsidP="00974C73">
      <w:pPr>
        <w:pStyle w:val="Heading3"/>
        <w:rPr>
          <w:lang w:val="fr-CA"/>
        </w:rPr>
      </w:pPr>
      <w:bookmarkStart w:id="64" w:name="lt_pId208"/>
      <w:r w:rsidRPr="007263C1">
        <w:rPr>
          <w:lang w:val="fr-CA"/>
        </w:rPr>
        <w:t>Initiatives économiques et financières du gouvernement du Canada</w:t>
      </w:r>
      <w:bookmarkEnd w:id="64"/>
    </w:p>
    <w:p w14:paraId="19556396" w14:textId="77777777" w:rsidR="00974C73" w:rsidRPr="007263C1" w:rsidRDefault="00974C73" w:rsidP="00974C73">
      <w:pPr>
        <w:rPr>
          <w:lang w:val="fr-CA"/>
        </w:rPr>
      </w:pPr>
      <w:bookmarkStart w:id="65" w:name="lt_pId209"/>
      <w:r w:rsidRPr="007263C1">
        <w:rPr>
          <w:lang w:val="fr-CA"/>
        </w:rPr>
        <w:t>De manière générale, les participants connaissaient la gamme d’initiatives déployées par le gouvernement du Canada pour atténuer les répercussions économiques de la pandémie.</w:t>
      </w:r>
      <w:bookmarkEnd w:id="65"/>
      <w:r w:rsidRPr="007263C1">
        <w:rPr>
          <w:lang w:val="fr-CA"/>
        </w:rPr>
        <w:t xml:space="preserve"> </w:t>
      </w:r>
      <w:bookmarkStart w:id="66" w:name="lt_pId210"/>
      <w:r w:rsidRPr="007263C1">
        <w:rPr>
          <w:lang w:val="fr-CA"/>
        </w:rPr>
        <w:t>La Prestation canadienne d’urgence (PCU) jouissait d’une plus grande notoriété que d’autres programmes et prestations, et la plupart des gens en connaissaient le nom, et souvent le sigle.</w:t>
      </w:r>
      <w:bookmarkEnd w:id="66"/>
      <w:r w:rsidRPr="007263C1">
        <w:rPr>
          <w:lang w:val="fr-CA"/>
        </w:rPr>
        <w:t xml:space="preserve"> </w:t>
      </w:r>
      <w:bookmarkStart w:id="67" w:name="lt_pId211"/>
      <w:r w:rsidRPr="007263C1">
        <w:rPr>
          <w:lang w:val="fr-CA"/>
        </w:rPr>
        <w:t>Les recoupements entre l’assurance-emploi (AE) et la PCU portaient manifestement à confusion, mais la majorité des participants comprenaient que, pour l’heure, la PCU s’était entièrement substituée à l’AE.</w:t>
      </w:r>
      <w:bookmarkEnd w:id="67"/>
      <w:r w:rsidRPr="007263C1">
        <w:rPr>
          <w:lang w:val="fr-CA"/>
        </w:rPr>
        <w:t xml:space="preserve">  </w:t>
      </w:r>
    </w:p>
    <w:p w14:paraId="7BDA3D3E" w14:textId="77777777" w:rsidR="00974C73" w:rsidRPr="007263C1" w:rsidRDefault="00974C73" w:rsidP="00974C73">
      <w:pPr>
        <w:rPr>
          <w:lang w:val="fr-CA"/>
        </w:rPr>
      </w:pPr>
      <w:bookmarkStart w:id="68" w:name="lt_pId212"/>
      <w:r w:rsidRPr="007263C1">
        <w:rPr>
          <w:lang w:val="fr-CA"/>
        </w:rPr>
        <w:t>Les participants étaient plus ou moins au courant de l’aide financière que le gouvernement destinait à quantité de groupes touchés par la COVID-19, dont les étudiants, les aînés, les propriétaires d’immeubles commerciaux et autres, ainsi que les entreprises et les employeurs.</w:t>
      </w:r>
      <w:bookmarkEnd w:id="68"/>
      <w:r w:rsidRPr="007263C1">
        <w:rPr>
          <w:lang w:val="fr-CA"/>
        </w:rPr>
        <w:t xml:space="preserve"> </w:t>
      </w:r>
      <w:bookmarkStart w:id="69" w:name="lt_pId213"/>
      <w:r w:rsidRPr="007263C1">
        <w:rPr>
          <w:lang w:val="fr-CA"/>
        </w:rPr>
        <w:t>Sans donner beaucoup de détails, les participants ont mentionné des initiatives précises, par exemple la subvention salariale pour les employeurs, les bourses aux étudiants, les prêts aux entreprises, l’aide au loyer pour les petites entreprises et les propriétaires d’immeubles commerciaux, et la prolongation des dates limites de production des déclarations de revenus.</w:t>
      </w:r>
      <w:bookmarkEnd w:id="69"/>
    </w:p>
    <w:p w14:paraId="7E6C65DC" w14:textId="77777777" w:rsidR="00974C73" w:rsidRPr="007263C1" w:rsidRDefault="00974C73" w:rsidP="00974C73">
      <w:pPr>
        <w:rPr>
          <w:lang w:val="fr-CA"/>
        </w:rPr>
      </w:pPr>
      <w:bookmarkStart w:id="70" w:name="lt_pId214"/>
      <w:r w:rsidRPr="007263C1">
        <w:rPr>
          <w:lang w:val="fr-CA"/>
        </w:rPr>
        <w:t xml:space="preserve">Dans l’ensemble, les participants approuvaient l’intervention du gouvernement du Canada. Ils estimaient que la mise sur pied rapide de ces programmes avait permis d’éviter des faillites en cascade et des pertes d’emplois massives. </w:t>
      </w:r>
      <w:bookmarkStart w:id="71" w:name="lt_pId215"/>
      <w:bookmarkEnd w:id="70"/>
      <w:r w:rsidRPr="007263C1">
        <w:rPr>
          <w:lang w:val="fr-CA"/>
        </w:rPr>
        <w:t>Les conséquences financières à long terme de ces mesures étaient toutefois un motif de préoccupation.</w:t>
      </w:r>
      <w:bookmarkEnd w:id="71"/>
    </w:p>
    <w:p w14:paraId="1F8CB052" w14:textId="77777777" w:rsidR="00974C73" w:rsidRPr="007263C1" w:rsidRDefault="00974C73" w:rsidP="00974C73">
      <w:pPr>
        <w:rPr>
          <w:lang w:val="fr-CA"/>
        </w:rPr>
      </w:pPr>
      <w:bookmarkStart w:id="72" w:name="lt_pId216"/>
      <w:r w:rsidRPr="007263C1">
        <w:rPr>
          <w:lang w:val="fr-CA"/>
        </w:rPr>
        <w:t>Les participants qui touchaient la PCU ont répondu à des questions détaillées sur leur expérience et leur opinion de cette prestation.</w:t>
      </w:r>
      <w:bookmarkEnd w:id="72"/>
      <w:r w:rsidRPr="007263C1">
        <w:rPr>
          <w:lang w:val="fr-CA"/>
        </w:rPr>
        <w:t xml:space="preserve"> </w:t>
      </w:r>
      <w:bookmarkStart w:id="73" w:name="lt_pId217"/>
      <w:r w:rsidRPr="007263C1">
        <w:rPr>
          <w:lang w:val="fr-CA"/>
        </w:rPr>
        <w:t>Confrontés à la disparition d’emplois et à l’incertitude économique provoquées par la pandémie, ils étaient infiniment reconnaissants à la fois du niveau de soutien financier reçu et de l’efficacité avec laquelle les paiements parvenaient aux bénéficiaires.</w:t>
      </w:r>
      <w:bookmarkEnd w:id="73"/>
      <w:r w:rsidRPr="007263C1">
        <w:rPr>
          <w:lang w:val="fr-CA"/>
        </w:rPr>
        <w:t xml:space="preserve"> </w:t>
      </w:r>
      <w:bookmarkStart w:id="74" w:name="lt_pId218"/>
      <w:r w:rsidRPr="007263C1">
        <w:rPr>
          <w:lang w:val="fr-CA"/>
        </w:rPr>
        <w:t xml:space="preserve">La question </w:t>
      </w:r>
      <w:r w:rsidRPr="007263C1">
        <w:rPr>
          <w:lang w:val="fr-CA"/>
        </w:rPr>
        <w:lastRenderedPageBreak/>
        <w:t>de savoir s’il était équitable que le même montant soit accordé à tous, sans égard aux circonstances, passait pour secondaire à côté de l’urgence de verser les fonds aux ménages canadiens.</w:t>
      </w:r>
      <w:bookmarkEnd w:id="74"/>
      <w:r w:rsidRPr="007263C1">
        <w:rPr>
          <w:lang w:val="fr-CA"/>
        </w:rPr>
        <w:t xml:space="preserve"> </w:t>
      </w:r>
      <w:bookmarkStart w:id="75" w:name="lt_pId219"/>
      <w:r w:rsidRPr="007263C1">
        <w:rPr>
          <w:lang w:val="fr-CA"/>
        </w:rPr>
        <w:t>Ils considéraient que la prestation venait en aide à de nombreuses personnes touchées par le confinement. D’ailleurs, certains s’inquiétaient de la durée du programme, craignant qu’il ne prenne fin avant leur retour au travail ou leur obtention d’un nouvel emploi rémunéré.</w:t>
      </w:r>
      <w:bookmarkEnd w:id="75"/>
      <w:r w:rsidRPr="007263C1">
        <w:rPr>
          <w:lang w:val="fr-CA"/>
        </w:rPr>
        <w:t xml:space="preserve"> </w:t>
      </w:r>
      <w:bookmarkStart w:id="76" w:name="lt_pId220"/>
      <w:r w:rsidRPr="007263C1">
        <w:rPr>
          <w:lang w:val="fr-CA"/>
        </w:rPr>
        <w:t>La majorité des gens souhaitaient voir la prestation maintenue au cours de l’automne ou de l’hiver, ce qui correspondait généralement à leur estimation du moment auquel la reprise était susceptible de s’accélérer.</w:t>
      </w:r>
      <w:bookmarkEnd w:id="76"/>
      <w:r w:rsidRPr="007263C1">
        <w:rPr>
          <w:lang w:val="fr-CA"/>
        </w:rPr>
        <w:t xml:space="preserve"> </w:t>
      </w:r>
      <w:bookmarkStart w:id="77" w:name="lt_pId221"/>
      <w:r w:rsidRPr="007263C1">
        <w:rPr>
          <w:lang w:val="fr-CA"/>
        </w:rPr>
        <w:t>La plupart des participants qui touchaient la PCU croyaient satisfaire aux critères d’admissibilité énoncés et peu ont dit que ce paiement avait miné leur motivation à retourner au travail ou à trouver un emploi.</w:t>
      </w:r>
      <w:bookmarkEnd w:id="77"/>
    </w:p>
    <w:p w14:paraId="7354F5F4" w14:textId="77777777" w:rsidR="00974C73" w:rsidRPr="007263C1" w:rsidRDefault="00974C73" w:rsidP="00974C73">
      <w:pPr>
        <w:rPr>
          <w:lang w:val="fr-CA"/>
        </w:rPr>
      </w:pPr>
      <w:bookmarkStart w:id="78" w:name="lt_pId222"/>
      <w:r w:rsidRPr="007263C1">
        <w:rPr>
          <w:lang w:val="fr-CA"/>
        </w:rPr>
        <w:t>En l’absence d’autres détails, les participants ont eu plus de mal à se prononcer sur le caractère équitable ou non de la Subvention salariale d’urgence du Canada (SSUC), établie à 75 % du salaire, ou sur la durée souhaitable de cette prestation.</w:t>
      </w:r>
      <w:bookmarkEnd w:id="78"/>
      <w:r w:rsidRPr="007263C1">
        <w:rPr>
          <w:lang w:val="fr-CA"/>
        </w:rPr>
        <w:t xml:space="preserve"> Certains se demandaient à quel point la subvention encouragerait réellement les employeurs à garder leur personnel dans des situations où il n’y avait absolument aucun travail à leur confier</w:t>
      </w:r>
      <w:bookmarkStart w:id="79" w:name="lt_pId223"/>
      <w:r w:rsidRPr="007263C1">
        <w:rPr>
          <w:lang w:val="fr-CA"/>
        </w:rPr>
        <w:t>.</w:t>
      </w:r>
      <w:bookmarkEnd w:id="79"/>
      <w:r w:rsidRPr="007263C1">
        <w:rPr>
          <w:lang w:val="fr-CA"/>
        </w:rPr>
        <w:t xml:space="preserve">  </w:t>
      </w:r>
    </w:p>
    <w:p w14:paraId="1D6C8C60" w14:textId="77777777" w:rsidR="00974C73" w:rsidRPr="007263C1" w:rsidRDefault="00974C73" w:rsidP="00974C73">
      <w:pPr>
        <w:rPr>
          <w:lang w:val="fr-CA"/>
        </w:rPr>
      </w:pPr>
      <w:bookmarkStart w:id="80" w:name="lt_pId224"/>
      <w:r w:rsidRPr="007263C1">
        <w:rPr>
          <w:lang w:val="fr-CA"/>
        </w:rPr>
        <w:t xml:space="preserve">Les participants étaient plus ou moins au courant du financement destiné aux aînés durant la pandémie de COVID-19. </w:t>
      </w:r>
      <w:bookmarkStart w:id="81" w:name="lt_pId225"/>
      <w:bookmarkEnd w:id="80"/>
      <w:r w:rsidRPr="007263C1">
        <w:rPr>
          <w:lang w:val="fr-CA"/>
        </w:rPr>
        <w:t>Leurs points de vue divergeaient sur le caractère équitable du programme actuel, qui offre aux aînés admissibles à la Sécurité de la vieillesse (SV) et au Supplément de revenu garanti (SRG) des paiements uniques de 300 $ et de 200 $ respectivement, ou un paiement total de 500 $ pour ceux qui cumulent la SV et le SRG.</w:t>
      </w:r>
      <w:bookmarkEnd w:id="81"/>
      <w:r w:rsidRPr="007263C1">
        <w:rPr>
          <w:lang w:val="fr-CA"/>
        </w:rPr>
        <w:t xml:space="preserve"> </w:t>
      </w:r>
      <w:bookmarkStart w:id="82" w:name="lt_pId226"/>
      <w:r w:rsidRPr="007263C1">
        <w:rPr>
          <w:lang w:val="fr-CA"/>
        </w:rPr>
        <w:t>Ce soutien financier décevait les attentes de certains participants, qui le jugeaient insuffisant pour répondre aux besoins de nombreux aînés en difficulté.</w:t>
      </w:r>
      <w:bookmarkEnd w:id="82"/>
      <w:r w:rsidRPr="007263C1">
        <w:rPr>
          <w:lang w:val="fr-CA"/>
        </w:rPr>
        <w:t xml:space="preserve"> </w:t>
      </w:r>
      <w:bookmarkStart w:id="83" w:name="lt_pId227"/>
      <w:r w:rsidRPr="007263C1">
        <w:rPr>
          <w:lang w:val="fr-CA"/>
        </w:rPr>
        <w:t>Il était bien accueilli par d’autres, qui croyaient cette aide utile en général, surtout pour compenser les dépenses accrues des personnes âgées en temps de pandémie (p. ex., le recours plus fréquent à des services de livraison afin d’éviter de sortir faire les courses).</w:t>
      </w:r>
      <w:bookmarkEnd w:id="83"/>
      <w:r w:rsidRPr="007263C1">
        <w:rPr>
          <w:lang w:val="fr-CA"/>
        </w:rPr>
        <w:t xml:space="preserve"> </w:t>
      </w:r>
      <w:bookmarkStart w:id="84" w:name="lt_pId228"/>
      <w:r w:rsidRPr="007263C1">
        <w:rPr>
          <w:lang w:val="fr-CA"/>
        </w:rPr>
        <w:t xml:space="preserve">Dans tous les groupes, les participants ont débattu de l’ampleur des effets de la crise sur les aînés, certains affirmant que les dépenses de ce groupe avaient diminué en raison d’achats moindres, et d’autres </w:t>
      </w:r>
      <w:proofErr w:type="gramStart"/>
      <w:r w:rsidRPr="007263C1">
        <w:rPr>
          <w:lang w:val="fr-CA"/>
        </w:rPr>
        <w:t>croyant possible</w:t>
      </w:r>
      <w:proofErr w:type="gramEnd"/>
      <w:r w:rsidRPr="007263C1">
        <w:rPr>
          <w:lang w:val="fr-CA"/>
        </w:rPr>
        <w:t xml:space="preserve"> qu’elles aient augmenté. Dans bien des cas, le lieu de résidence était vu comme un facteur important.</w:t>
      </w:r>
      <w:bookmarkEnd w:id="84"/>
      <w:r w:rsidRPr="007263C1">
        <w:rPr>
          <w:lang w:val="fr-CA"/>
        </w:rPr>
        <w:t xml:space="preserve"> </w:t>
      </w:r>
      <w:bookmarkStart w:id="85" w:name="lt_pId229"/>
      <w:r w:rsidRPr="007263C1">
        <w:rPr>
          <w:lang w:val="fr-CA"/>
        </w:rPr>
        <w:t>Ainsi, certains pensaient que les aînés habitant de grandes villes étaient plus pénalisés financièrement que ceux de petites villes ou de régions rurales, qui peuvent compter davantage sur l’aide de la famille, des réseaux sociaux et des entreprises locales.</w:t>
      </w:r>
      <w:bookmarkEnd w:id="85"/>
    </w:p>
    <w:p w14:paraId="685206BB" w14:textId="77777777" w:rsidR="00974C73" w:rsidRPr="007263C1" w:rsidRDefault="00974C73" w:rsidP="00974C73">
      <w:pPr>
        <w:rPr>
          <w:lang w:val="fr-CA"/>
        </w:rPr>
      </w:pPr>
      <w:bookmarkStart w:id="86" w:name="lt_pId230"/>
      <w:r w:rsidRPr="007263C1">
        <w:rPr>
          <w:lang w:val="fr-CA"/>
        </w:rPr>
        <w:t>Le complément d’information indiquant aux participants que les aînés à faible revenu bénéficiaient déjà d’une aide supplémentaire (par l’intermédiaire de la SV, du SRG et des crédits de TVH/TPS) n’a pas modifié leur opinion sur le paiement unique pour les personnes âgées.</w:t>
      </w:r>
      <w:bookmarkEnd w:id="86"/>
      <w:r w:rsidRPr="007263C1">
        <w:rPr>
          <w:lang w:val="fr-CA"/>
        </w:rPr>
        <w:t xml:space="preserve"> </w:t>
      </w:r>
      <w:bookmarkStart w:id="87" w:name="lt_pId231"/>
      <w:r w:rsidRPr="007263C1">
        <w:rPr>
          <w:lang w:val="fr-CA"/>
        </w:rPr>
        <w:t>Ceux qui y étaient favorables ont réitéré que les aînés à faible revenu peinaient à joindre les deux bouts et avaient besoin de la totalité de cette aide, au minimum.</w:t>
      </w:r>
      <w:bookmarkEnd w:id="87"/>
      <w:r w:rsidRPr="007263C1">
        <w:rPr>
          <w:lang w:val="fr-CA"/>
        </w:rPr>
        <w:t xml:space="preserve"> </w:t>
      </w:r>
      <w:bookmarkStart w:id="88" w:name="lt_pId232"/>
      <w:r w:rsidRPr="007263C1">
        <w:rPr>
          <w:lang w:val="fr-CA"/>
        </w:rPr>
        <w:t>D’autres estimaient que l’ensemble des aînés canadiens, et non seulement ceux à faible revenu, méritaient une aide financière supplémentaire en ce moment.</w:t>
      </w:r>
      <w:bookmarkEnd w:id="88"/>
    </w:p>
    <w:p w14:paraId="2DD91531" w14:textId="77777777" w:rsidR="00974C73" w:rsidRPr="007263C1" w:rsidRDefault="00974C73" w:rsidP="00974C73">
      <w:pPr>
        <w:pStyle w:val="Heading3"/>
        <w:rPr>
          <w:lang w:val="fr-CA"/>
        </w:rPr>
      </w:pPr>
      <w:bookmarkStart w:id="89" w:name="lt_pId233"/>
      <w:r w:rsidRPr="007263C1">
        <w:rPr>
          <w:lang w:val="fr-CA"/>
        </w:rPr>
        <w:t>Gestion des déficits budgétaires (parents de la RGT, bénéficiaires de la PCU de petites villes et de villes de taille moyenne de l’Alberta)</w:t>
      </w:r>
      <w:bookmarkEnd w:id="89"/>
    </w:p>
    <w:p w14:paraId="7C0EC9CC" w14:textId="77777777" w:rsidR="00974C73" w:rsidRPr="007263C1" w:rsidRDefault="00974C73" w:rsidP="00974C73">
      <w:pPr>
        <w:rPr>
          <w:lang w:val="fr-CA"/>
        </w:rPr>
      </w:pPr>
      <w:bookmarkStart w:id="90" w:name="lt_pId234"/>
      <w:r w:rsidRPr="007263C1">
        <w:rPr>
          <w:lang w:val="fr-CA"/>
        </w:rPr>
        <w:t>Les participants devaient indiquer s’il convenait que le gouvernement du Canada maintienne ses programmes tels que la PCU, la SSUC et l’aide aux aînés, les réduise afin de limiter les dépenses, ou en fasse davantage pour aider les gens, quitte à créer un déficit plus important que prévu.</w:t>
      </w:r>
      <w:bookmarkEnd w:id="90"/>
      <w:r w:rsidRPr="007263C1">
        <w:rPr>
          <w:lang w:val="fr-CA"/>
        </w:rPr>
        <w:t xml:space="preserve"> </w:t>
      </w:r>
      <w:bookmarkStart w:id="91" w:name="lt_pId235"/>
      <w:r w:rsidRPr="007263C1">
        <w:rPr>
          <w:lang w:val="fr-CA"/>
        </w:rPr>
        <w:t xml:space="preserve">De l’avis </w:t>
      </w:r>
      <w:r w:rsidRPr="007263C1">
        <w:rPr>
          <w:lang w:val="fr-CA"/>
        </w:rPr>
        <w:lastRenderedPageBreak/>
        <w:t>général, ces programmes devaient rester en place jusqu’à ce que l’économie « se normalise ». Les participants redoutaient les conséquences financières que cela entraînerait, surtout pour les générations futures tenues de rembourser la dette, mais pensaient que les programmes avaient des effets positifs et qu’un déficit était inévitable pour empêcher les entreprises de s’effondrer et mettre les familles à l’abri des ennuis financiers.</w:t>
      </w:r>
      <w:bookmarkEnd w:id="91"/>
      <w:r w:rsidRPr="007263C1">
        <w:rPr>
          <w:lang w:val="fr-CA"/>
        </w:rPr>
        <w:t xml:space="preserve"> Cependant, personne n’a suggéré que le gouvernement en fasse davantage </w:t>
      </w:r>
      <w:bookmarkStart w:id="92" w:name="lt_pId236"/>
      <w:r w:rsidRPr="007263C1">
        <w:rPr>
          <w:lang w:val="fr-CA"/>
        </w:rPr>
        <w:t>si cela devait creuser le déficit.</w:t>
      </w:r>
      <w:bookmarkEnd w:id="92"/>
      <w:r w:rsidRPr="007263C1">
        <w:rPr>
          <w:lang w:val="fr-CA"/>
        </w:rPr>
        <w:t xml:space="preserve"> </w:t>
      </w:r>
    </w:p>
    <w:p w14:paraId="5E607E82" w14:textId="77777777" w:rsidR="00974C73" w:rsidRPr="007263C1" w:rsidRDefault="00974C73" w:rsidP="00974C73">
      <w:pPr>
        <w:pStyle w:val="Heading3"/>
        <w:rPr>
          <w:lang w:val="fr-CA"/>
        </w:rPr>
      </w:pPr>
      <w:bookmarkStart w:id="93" w:name="lt_pId237"/>
      <w:r w:rsidRPr="007263C1">
        <w:rPr>
          <w:lang w:val="fr-CA"/>
        </w:rPr>
        <w:t>Relance et stimulants économiques (parents de la RGT, bénéficiaires de la PCU de petites villes et de villes de taille moyenne de l’Alberta, aînés de Montréal)</w:t>
      </w:r>
      <w:bookmarkEnd w:id="93"/>
    </w:p>
    <w:p w14:paraId="36E2348B" w14:textId="77777777" w:rsidR="00974C73" w:rsidRPr="007263C1" w:rsidRDefault="00974C73" w:rsidP="00974C73">
      <w:pPr>
        <w:rPr>
          <w:lang w:val="fr-CA"/>
        </w:rPr>
      </w:pPr>
      <w:bookmarkStart w:id="94" w:name="lt_pId238"/>
      <w:r w:rsidRPr="007263C1">
        <w:rPr>
          <w:lang w:val="fr-CA"/>
        </w:rPr>
        <w:t>Les participants ne s’attendaient pas à ce que l’économie reparte à toute vapeur après la réouverture.</w:t>
      </w:r>
      <w:bookmarkEnd w:id="94"/>
      <w:r w:rsidRPr="007263C1">
        <w:rPr>
          <w:lang w:val="fr-CA"/>
        </w:rPr>
        <w:t xml:space="preserve"> </w:t>
      </w:r>
      <w:bookmarkStart w:id="95" w:name="lt_pId239"/>
      <w:r w:rsidRPr="007263C1">
        <w:rPr>
          <w:lang w:val="fr-CA"/>
        </w:rPr>
        <w:t>Certains croyaient ce scénario peu probable sans accès généralisé à un vaccin, tandis que d’autres ont évoqué les changements d’attitude et de comportement des consommateurs — notamment la réduction des dépenses facultatives — et leurs répercussions négatives sur l’économie.</w:t>
      </w:r>
      <w:bookmarkEnd w:id="95"/>
      <w:r w:rsidRPr="007263C1">
        <w:rPr>
          <w:lang w:val="fr-CA"/>
        </w:rPr>
        <w:t xml:space="preserve"> </w:t>
      </w:r>
      <w:bookmarkStart w:id="96" w:name="lt_pId240"/>
      <w:r w:rsidRPr="007263C1">
        <w:rPr>
          <w:lang w:val="fr-CA"/>
        </w:rPr>
        <w:t>D’autres encore ont parlé de l’ampleur des dégâts économiques, en indiquant que maintes entreprises ne pourraient rouvrir avant longtemps (p. ex., dans le secteur du tourisme et de l’hôtellerie), et plusieurs participants craignaient les effets d’une deuxième vague du virus.</w:t>
      </w:r>
      <w:bookmarkEnd w:id="96"/>
      <w:r w:rsidRPr="007263C1">
        <w:rPr>
          <w:lang w:val="fr-CA"/>
        </w:rPr>
        <w:t xml:space="preserve"> </w:t>
      </w:r>
      <w:bookmarkStart w:id="97" w:name="lt_pId241"/>
      <w:r w:rsidRPr="007263C1">
        <w:rPr>
          <w:lang w:val="fr-CA"/>
        </w:rPr>
        <w:t xml:space="preserve">Les prévisions concernant le délai de la reprise économique variaient sensiblement, allant de trois à six mois dans certains cas, jusqu’à deux à cinq ans dans d’autres. </w:t>
      </w:r>
      <w:bookmarkStart w:id="98" w:name="lt_pId242"/>
      <w:bookmarkEnd w:id="97"/>
      <w:r w:rsidRPr="007263C1">
        <w:rPr>
          <w:lang w:val="fr-CA"/>
        </w:rPr>
        <w:t>La durée souhaitée de programmes comme la PCU et la SSUC était semblable au délai du rétablissement économique estimé par les participants.</w:t>
      </w:r>
      <w:bookmarkEnd w:id="98"/>
      <w:r w:rsidRPr="007263C1">
        <w:rPr>
          <w:lang w:val="fr-CA"/>
        </w:rPr>
        <w:t xml:space="preserve"> </w:t>
      </w:r>
      <w:bookmarkStart w:id="99" w:name="lt_pId243"/>
      <w:r w:rsidRPr="007263C1">
        <w:rPr>
          <w:lang w:val="fr-CA"/>
        </w:rPr>
        <w:t>En parallèle, certains ont ajouté qu’il faudrait revoir ces programmes à intervalles réguliers afin de s’assurer qu’ils bénéficient aux plus démunis et, dans le cas de la PCU, qu’ils ne dissuadent pas les gens de retourner au travail.</w:t>
      </w:r>
      <w:bookmarkEnd w:id="99"/>
      <w:r w:rsidRPr="007263C1">
        <w:rPr>
          <w:lang w:val="fr-CA"/>
        </w:rPr>
        <w:t xml:space="preserve"> </w:t>
      </w:r>
      <w:bookmarkStart w:id="100" w:name="lt_pId244"/>
      <w:r w:rsidRPr="007263C1">
        <w:rPr>
          <w:lang w:val="fr-CA"/>
        </w:rPr>
        <w:t>Les participants s’attendaient à ce que de moins nombreux demandeurs soient admissibles à ces prestations au fil du temps.</w:t>
      </w:r>
      <w:bookmarkEnd w:id="100"/>
    </w:p>
    <w:p w14:paraId="1F0680E1" w14:textId="77777777" w:rsidR="00974C73" w:rsidRPr="007263C1" w:rsidRDefault="00974C73" w:rsidP="00974C73">
      <w:pPr>
        <w:rPr>
          <w:lang w:val="fr-CA"/>
        </w:rPr>
      </w:pPr>
      <w:bookmarkStart w:id="101" w:name="lt_pId245"/>
      <w:r w:rsidRPr="007263C1">
        <w:rPr>
          <w:lang w:val="fr-CA"/>
        </w:rPr>
        <w:t>La plupart croyaient que certains stimulants économiques seraient nécessaires pour relancer l’économie.</w:t>
      </w:r>
      <w:bookmarkEnd w:id="101"/>
      <w:r w:rsidRPr="007263C1">
        <w:rPr>
          <w:lang w:val="fr-CA"/>
        </w:rPr>
        <w:t xml:space="preserve"> </w:t>
      </w:r>
      <w:bookmarkStart w:id="102" w:name="lt_pId246"/>
      <w:r w:rsidRPr="007263C1">
        <w:rPr>
          <w:lang w:val="fr-CA"/>
        </w:rPr>
        <w:t>Quoiqu’il ait beaucoup été question des incitatifs aux entreprises (p. ex., réductions d’impôts, aide aux entreprises en démarrage, soutien aux petites entreprises, etc.), la possibilité de stimuler l’économie au moyen de mesures visant les consommateurs (p. ex., incitatifs à l’achat de produits canadiens, coupons, etc.) était également bien accueillie.</w:t>
      </w:r>
      <w:bookmarkEnd w:id="102"/>
      <w:r w:rsidRPr="007263C1">
        <w:rPr>
          <w:lang w:val="fr-CA"/>
        </w:rPr>
        <w:t xml:space="preserve"> </w:t>
      </w:r>
      <w:bookmarkStart w:id="103" w:name="lt_pId247"/>
      <w:r w:rsidRPr="007263C1">
        <w:rPr>
          <w:lang w:val="fr-CA"/>
        </w:rPr>
        <w:t>Certains favorisaient les programmes de relance traditionnels, comme les grands travaux d’infrastructure, mais avaient peu de choses à dire sur la nature et la portée de ce genre d’initiatives, si ce n’est qu’elles leur semblaient efficaces pour créer des emplois.</w:t>
      </w:r>
      <w:bookmarkEnd w:id="103"/>
      <w:r w:rsidRPr="007263C1">
        <w:rPr>
          <w:lang w:val="fr-CA"/>
        </w:rPr>
        <w:t xml:space="preserve">  </w:t>
      </w:r>
    </w:p>
    <w:p w14:paraId="578AFD0C" w14:textId="77777777" w:rsidR="00974C73" w:rsidRPr="007263C1" w:rsidRDefault="00974C73" w:rsidP="00974C73">
      <w:pPr>
        <w:pStyle w:val="Heading3"/>
        <w:rPr>
          <w:lang w:val="fr-CA"/>
        </w:rPr>
      </w:pPr>
      <w:bookmarkStart w:id="104" w:name="lt_pId248"/>
      <w:r w:rsidRPr="007263C1">
        <w:rPr>
          <w:lang w:val="fr-CA"/>
        </w:rPr>
        <w:t>Accord sur la relance sécuritaire (aînés de grandes villes ontariennes, bénéficiaires de la PCU de petites villes et de villes de taille moyenne du Québec, parents de Vancouver, villes ontariennes de taille moyenne, petites villes des Prairies, Victoria et Nanaimo)</w:t>
      </w:r>
      <w:bookmarkEnd w:id="104"/>
    </w:p>
    <w:p w14:paraId="0A1A8FE0" w14:textId="77777777" w:rsidR="00974C73" w:rsidRPr="007263C1" w:rsidRDefault="00974C73" w:rsidP="00974C73">
      <w:pPr>
        <w:rPr>
          <w:lang w:val="fr-CA"/>
        </w:rPr>
      </w:pPr>
      <w:bookmarkStart w:id="105" w:name="lt_pId249"/>
      <w:r w:rsidRPr="007263C1">
        <w:rPr>
          <w:lang w:val="fr-CA"/>
        </w:rPr>
        <w:t>Les participants n’avaient généralement pas entendu parler de l’Accord sur la relance sécuritaire du gouvernement du Canada.</w:t>
      </w:r>
      <w:bookmarkEnd w:id="105"/>
      <w:r w:rsidRPr="007263C1">
        <w:rPr>
          <w:lang w:val="fr-CA"/>
        </w:rPr>
        <w:t xml:space="preserve"> </w:t>
      </w:r>
      <w:bookmarkStart w:id="106" w:name="lt_pId250"/>
      <w:r w:rsidRPr="007263C1">
        <w:rPr>
          <w:lang w:val="fr-CA"/>
        </w:rPr>
        <w:t>On leur a expliqué que dans le cadre de cet accord, les provinces et les territoires recevraient une aide de 14 milliards de dollars destinée à la relance de leur économie.</w:t>
      </w:r>
      <w:bookmarkEnd w:id="106"/>
      <w:r w:rsidRPr="007263C1">
        <w:rPr>
          <w:lang w:val="fr-CA"/>
        </w:rPr>
        <w:t xml:space="preserve"> </w:t>
      </w:r>
      <w:bookmarkStart w:id="107" w:name="lt_pId251"/>
      <w:r w:rsidRPr="007263C1">
        <w:rPr>
          <w:lang w:val="fr-CA"/>
        </w:rPr>
        <w:t>On leur a également montré une liste de secteurs de financement possibles, en leur demandant d’en cerner deux ou trois qui leur paraissaient plus importants pour faciliter la réouverture des diverses régions du Canada.</w:t>
      </w:r>
      <w:bookmarkEnd w:id="107"/>
    </w:p>
    <w:p w14:paraId="380E4809" w14:textId="77777777" w:rsidR="00974C73" w:rsidRPr="007263C1" w:rsidRDefault="00974C73" w:rsidP="00974C73">
      <w:pPr>
        <w:pStyle w:val="ListParagraph"/>
        <w:rPr>
          <w:i/>
          <w:iCs/>
          <w:lang w:val="fr-CA"/>
        </w:rPr>
      </w:pPr>
      <w:bookmarkStart w:id="108" w:name="lt_pId252"/>
      <w:r w:rsidRPr="007263C1">
        <w:rPr>
          <w:lang w:val="fr-CA"/>
        </w:rPr>
        <w:lastRenderedPageBreak/>
        <w:t>Les services de garde afin que les parents puissent retourner au travail</w:t>
      </w:r>
      <w:bookmarkEnd w:id="108"/>
    </w:p>
    <w:p w14:paraId="16EE5BF0" w14:textId="77777777" w:rsidR="00974C73" w:rsidRPr="007263C1" w:rsidRDefault="00974C73" w:rsidP="00974C73">
      <w:pPr>
        <w:pStyle w:val="ListParagraph"/>
        <w:rPr>
          <w:i/>
          <w:iCs/>
          <w:lang w:val="fr-CA"/>
        </w:rPr>
      </w:pPr>
      <w:bookmarkStart w:id="109" w:name="lt_pId253"/>
      <w:r w:rsidRPr="007263C1">
        <w:rPr>
          <w:lang w:val="fr-CA"/>
        </w:rPr>
        <w:t>Les services de base tels que le transport en commun</w:t>
      </w:r>
      <w:bookmarkEnd w:id="109"/>
    </w:p>
    <w:p w14:paraId="5149B16C" w14:textId="77777777" w:rsidR="00974C73" w:rsidRPr="007263C1" w:rsidRDefault="00974C73" w:rsidP="00974C73">
      <w:pPr>
        <w:pStyle w:val="ListParagraph"/>
        <w:rPr>
          <w:i/>
          <w:iCs/>
          <w:lang w:val="fr-CA"/>
        </w:rPr>
      </w:pPr>
      <w:bookmarkStart w:id="110" w:name="lt_pId254"/>
      <w:r w:rsidRPr="007263C1">
        <w:rPr>
          <w:lang w:val="fr-CA"/>
        </w:rPr>
        <w:t xml:space="preserve">L’accès à au moins deux semaines </w:t>
      </w:r>
      <w:bookmarkEnd w:id="110"/>
      <w:r w:rsidRPr="007263C1">
        <w:rPr>
          <w:lang w:val="fr-CA"/>
        </w:rPr>
        <w:t>de congé de maladie payé pour tous les travailleurs</w:t>
      </w:r>
    </w:p>
    <w:p w14:paraId="13284EA9" w14:textId="77777777" w:rsidR="00974C73" w:rsidRPr="007263C1" w:rsidRDefault="00974C73" w:rsidP="00974C73">
      <w:pPr>
        <w:pStyle w:val="ListParagraph"/>
        <w:rPr>
          <w:i/>
          <w:iCs/>
          <w:lang w:val="fr-CA"/>
        </w:rPr>
      </w:pPr>
      <w:bookmarkStart w:id="111" w:name="lt_pId255"/>
      <w:r w:rsidRPr="007263C1">
        <w:rPr>
          <w:lang w:val="fr-CA"/>
        </w:rPr>
        <w:t>L’amélioration des capacités de dépistage et de recherche de contacts</w:t>
      </w:r>
      <w:bookmarkEnd w:id="111"/>
    </w:p>
    <w:p w14:paraId="0C5E5562" w14:textId="77777777" w:rsidR="00974C73" w:rsidRPr="007263C1" w:rsidRDefault="00974C73" w:rsidP="00974C73">
      <w:pPr>
        <w:pStyle w:val="ListParagraph"/>
        <w:rPr>
          <w:i/>
          <w:iCs/>
          <w:lang w:val="fr-CA"/>
        </w:rPr>
      </w:pPr>
      <w:bookmarkStart w:id="112" w:name="lt_pId256"/>
      <w:r w:rsidRPr="007263C1">
        <w:rPr>
          <w:lang w:val="fr-CA"/>
        </w:rPr>
        <w:t>L’amélioration de l’état des soins de longue durée</w:t>
      </w:r>
      <w:bookmarkEnd w:id="112"/>
    </w:p>
    <w:p w14:paraId="19FE359E" w14:textId="77777777" w:rsidR="00974C73" w:rsidRPr="007263C1" w:rsidRDefault="00974C73" w:rsidP="00974C73">
      <w:pPr>
        <w:pStyle w:val="ListParagraph"/>
        <w:rPr>
          <w:i/>
          <w:iCs/>
          <w:lang w:val="fr-CA"/>
        </w:rPr>
      </w:pPr>
      <w:bookmarkStart w:id="113" w:name="lt_pId257"/>
      <w:r w:rsidRPr="007263C1">
        <w:rPr>
          <w:lang w:val="fr-CA"/>
        </w:rPr>
        <w:t>L’accès à plus d’équipement de protection individuelle (EPI) pour les entreprises</w:t>
      </w:r>
      <w:bookmarkEnd w:id="113"/>
    </w:p>
    <w:p w14:paraId="485BBDE6" w14:textId="77777777" w:rsidR="00974C73" w:rsidRPr="007263C1" w:rsidRDefault="00974C73" w:rsidP="00974C73">
      <w:pPr>
        <w:pStyle w:val="ListParagraph"/>
        <w:rPr>
          <w:rFonts w:asciiTheme="minorHAnsi" w:hAnsiTheme="minorHAnsi" w:cstheme="minorHAnsi"/>
          <w:i/>
          <w:iCs/>
          <w:lang w:val="fr-CA"/>
        </w:rPr>
      </w:pPr>
      <w:bookmarkStart w:id="114" w:name="lt_pId258"/>
      <w:r w:rsidRPr="007263C1">
        <w:rPr>
          <w:lang w:val="fr-CA"/>
        </w:rPr>
        <w:t xml:space="preserve">L’accès à plus d’équipement de protection individuelle (EPI) pour </w:t>
      </w:r>
      <w:bookmarkEnd w:id="114"/>
      <w:r w:rsidRPr="007263C1">
        <w:rPr>
          <w:lang w:val="fr-CA"/>
        </w:rPr>
        <w:t>les travailleurs de la santé de première ligne</w:t>
      </w:r>
    </w:p>
    <w:p w14:paraId="0290EFAF" w14:textId="77777777" w:rsidR="00974C73" w:rsidRPr="007263C1" w:rsidRDefault="00974C73" w:rsidP="00974C73">
      <w:pPr>
        <w:rPr>
          <w:lang w:val="fr-CA"/>
        </w:rPr>
      </w:pPr>
    </w:p>
    <w:p w14:paraId="0D47B8DC" w14:textId="77777777" w:rsidR="00974C73" w:rsidRPr="007263C1" w:rsidRDefault="00974C73" w:rsidP="00974C73">
      <w:pPr>
        <w:rPr>
          <w:lang w:val="fr-CA"/>
        </w:rPr>
      </w:pPr>
      <w:bookmarkStart w:id="115" w:name="lt_pId259"/>
      <w:r w:rsidRPr="007263C1">
        <w:rPr>
          <w:lang w:val="fr-CA"/>
        </w:rPr>
        <w:t>Tout considéré, quatre secteurs ont été perçus comme vitaux : les services de garde, le congé de maladie payé, le dépistage et la recherche de contacts, et les soins de longue durée.</w:t>
      </w:r>
      <w:bookmarkEnd w:id="115"/>
      <w:r w:rsidRPr="007263C1">
        <w:rPr>
          <w:lang w:val="fr-CA"/>
        </w:rPr>
        <w:t> </w:t>
      </w:r>
      <w:bookmarkStart w:id="116" w:name="lt_pId260"/>
      <w:r w:rsidRPr="007263C1">
        <w:rPr>
          <w:lang w:val="fr-CA"/>
        </w:rPr>
        <w:t>D’après les participants, les services de garde étaient une condition préalable pour permettre aux parents, et en particulier aux femmes, de réintégrer le marché du travail. Bien évidemment, comme plusieurs l’ont souligné, ces services devaient être dispensés de façon sécuritaire pour les enfants.</w:t>
      </w:r>
      <w:bookmarkEnd w:id="116"/>
      <w:r w:rsidRPr="007263C1">
        <w:rPr>
          <w:lang w:val="fr-CA"/>
        </w:rPr>
        <w:t xml:space="preserve"> </w:t>
      </w:r>
      <w:bookmarkStart w:id="117" w:name="lt_pId261"/>
      <w:r w:rsidRPr="007263C1">
        <w:rPr>
          <w:lang w:val="fr-CA"/>
        </w:rPr>
        <w:t>L’amélioration des capacités de dépistage et de recherche de contacts figurait aussi parmi les grandes priorités, surtout pour les participants de régions présentant des taux de positivité et un nombre de cas de COVID-19 plus élevés.</w:t>
      </w:r>
      <w:bookmarkEnd w:id="117"/>
      <w:r w:rsidRPr="007263C1">
        <w:rPr>
          <w:lang w:val="fr-CA"/>
        </w:rPr>
        <w:t xml:space="preserve"> </w:t>
      </w:r>
      <w:bookmarkStart w:id="118" w:name="lt_pId262"/>
      <w:r w:rsidRPr="007263C1">
        <w:rPr>
          <w:lang w:val="fr-CA"/>
        </w:rPr>
        <w:t>Conscients que l’arrivée d’un vaccin risquait de prendre des mois, les participants comprenaient l’intérêt du dépistage et de la recherche de contacts pour prendre le pouls de la situation et signaler rapidement toute recrudescence possible du virus.</w:t>
      </w:r>
      <w:bookmarkEnd w:id="118"/>
      <w:r w:rsidRPr="007263C1">
        <w:rPr>
          <w:lang w:val="fr-CA"/>
        </w:rPr>
        <w:t xml:space="preserve"> </w:t>
      </w:r>
      <w:bookmarkStart w:id="119" w:name="lt_pId263"/>
      <w:r w:rsidRPr="007263C1">
        <w:rPr>
          <w:lang w:val="fr-CA"/>
        </w:rPr>
        <w:t>Ils pensaient que la réouverture ne se poursuivrait qu’à condition que la propagation du virus soit maîtrisée.</w:t>
      </w:r>
      <w:bookmarkEnd w:id="119"/>
      <w:r w:rsidRPr="007263C1">
        <w:rPr>
          <w:lang w:val="fr-CA"/>
        </w:rPr>
        <w:t xml:space="preserve"> </w:t>
      </w:r>
      <w:bookmarkStart w:id="120" w:name="lt_pId264"/>
      <w:r w:rsidRPr="007263C1">
        <w:rPr>
          <w:lang w:val="fr-CA"/>
        </w:rPr>
        <w:t>L’accès à au moins deux semaines de congé de maladie pour tous les travailleurs était vu comme une autre priorité de premier plan.</w:t>
      </w:r>
      <w:bookmarkEnd w:id="120"/>
      <w:r w:rsidRPr="007263C1">
        <w:rPr>
          <w:lang w:val="fr-CA"/>
        </w:rPr>
        <w:t xml:space="preserve"> </w:t>
      </w:r>
      <w:bookmarkStart w:id="121" w:name="lt_pId265"/>
      <w:r w:rsidRPr="007263C1">
        <w:rPr>
          <w:lang w:val="fr-CA"/>
        </w:rPr>
        <w:t>De l’avis de beaucoup, les gens qui tombent malades ne devraient pas se sentir obligés d’aller travailler pour subvenir aux besoins de leur famille, car ils risquent alors d’infecter leurs collègues et leurs clients.</w:t>
      </w:r>
      <w:bookmarkEnd w:id="121"/>
      <w:r w:rsidRPr="007263C1">
        <w:rPr>
          <w:lang w:val="fr-CA"/>
        </w:rPr>
        <w:t xml:space="preserve"> </w:t>
      </w:r>
      <w:bookmarkStart w:id="122" w:name="lt_pId266"/>
      <w:r w:rsidRPr="007263C1">
        <w:rPr>
          <w:lang w:val="fr-CA"/>
        </w:rPr>
        <w:t xml:space="preserve">Les participants ont aussi parlé du caractère systémique des problèmes vécus dans les centres de soins de longue durée, qui explique selon eux le nombre élevé de cas et de décès liés </w:t>
      </w:r>
      <w:proofErr w:type="gramStart"/>
      <w:r w:rsidRPr="007263C1">
        <w:rPr>
          <w:lang w:val="fr-CA"/>
        </w:rPr>
        <w:t>à la</w:t>
      </w:r>
      <w:proofErr w:type="gramEnd"/>
      <w:r w:rsidRPr="007263C1">
        <w:rPr>
          <w:lang w:val="fr-CA"/>
        </w:rPr>
        <w:t xml:space="preserve"> COVID-19 tant parmi les résidents que le personnel de ces établissements.</w:t>
      </w:r>
      <w:bookmarkEnd w:id="122"/>
      <w:r w:rsidRPr="007263C1">
        <w:rPr>
          <w:lang w:val="fr-CA"/>
        </w:rPr>
        <w:t xml:space="preserve">  </w:t>
      </w:r>
    </w:p>
    <w:p w14:paraId="138B90D1" w14:textId="77777777" w:rsidR="00974C73" w:rsidRPr="007263C1" w:rsidRDefault="00974C73" w:rsidP="00974C73">
      <w:pPr>
        <w:rPr>
          <w:lang w:val="fr-CA"/>
        </w:rPr>
      </w:pPr>
      <w:bookmarkStart w:id="123" w:name="lt_pId267"/>
      <w:r w:rsidRPr="007263C1">
        <w:rPr>
          <w:lang w:val="fr-CA"/>
        </w:rPr>
        <w:t>La fourniture d’équipement de protection individuelle (EPI) aux professionnels de la santé et aux entreprises a également reçu l’appui des participants, qui accordaient toutefois une priorité moindre à ce secteur.</w:t>
      </w:r>
      <w:bookmarkEnd w:id="123"/>
      <w:r w:rsidRPr="007263C1">
        <w:rPr>
          <w:lang w:val="fr-CA"/>
        </w:rPr>
        <w:t xml:space="preserve"> </w:t>
      </w:r>
      <w:bookmarkStart w:id="124" w:name="lt_pId268"/>
      <w:r w:rsidRPr="007263C1">
        <w:rPr>
          <w:lang w:val="fr-CA"/>
        </w:rPr>
        <w:t>Les participants étaient au courant des pénuries d’EPI auxquelles faisaient face les travailleurs de la santé et estimaient que ces derniers devaient avoir la priorité. De l’avis de certains, c’était aux entreprises elles-mêmes, et non au gouvernement, d’assumer les coûts de leur EPI.</w:t>
      </w:r>
      <w:bookmarkEnd w:id="124"/>
      <w:r w:rsidRPr="007263C1">
        <w:rPr>
          <w:lang w:val="fr-CA"/>
        </w:rPr>
        <w:t xml:space="preserve"> </w:t>
      </w:r>
      <w:bookmarkStart w:id="125" w:name="lt_pId269"/>
      <w:r w:rsidRPr="007263C1">
        <w:rPr>
          <w:lang w:val="fr-CA"/>
        </w:rPr>
        <w:t>Les gens avaient le sentiment que le financement gouvernemental devrait être réservé aux initiatives qui profitent aux familles ou aux personnes à risque, plutôt qu’aux propriétaires et aux exploitants d’entreprises.</w:t>
      </w:r>
      <w:bookmarkEnd w:id="125"/>
    </w:p>
    <w:p w14:paraId="6C3F5192" w14:textId="77777777" w:rsidR="00974C73" w:rsidRPr="007263C1" w:rsidRDefault="00974C73" w:rsidP="00974C73">
      <w:pPr>
        <w:rPr>
          <w:lang w:val="fr-CA"/>
        </w:rPr>
      </w:pPr>
      <w:bookmarkStart w:id="126" w:name="lt_pId270"/>
      <w:r w:rsidRPr="007263C1">
        <w:rPr>
          <w:lang w:val="fr-CA"/>
        </w:rPr>
        <w:t xml:space="preserve">Le financement du transport en commun n’était pas tenu pour prioritaire. Beaucoup estimaient que ce secteur </w:t>
      </w:r>
      <w:bookmarkStart w:id="127" w:name="lt_pId271"/>
      <w:bookmarkEnd w:id="126"/>
      <w:r w:rsidRPr="007263C1">
        <w:rPr>
          <w:lang w:val="fr-CA"/>
        </w:rPr>
        <w:t>était relativement bien financé et qu’aucun argument convaincant ne justifiait d’y investir davantage.</w:t>
      </w:r>
      <w:bookmarkEnd w:id="127"/>
    </w:p>
    <w:p w14:paraId="54292CB6" w14:textId="77777777" w:rsidR="00974C73" w:rsidRPr="007263C1" w:rsidRDefault="00974C73" w:rsidP="00974C73">
      <w:pPr>
        <w:rPr>
          <w:lang w:val="fr-CA"/>
        </w:rPr>
      </w:pPr>
      <w:bookmarkStart w:id="128" w:name="lt_pId272"/>
      <w:r w:rsidRPr="007263C1">
        <w:rPr>
          <w:lang w:val="fr-CA"/>
        </w:rPr>
        <w:lastRenderedPageBreak/>
        <w:t>Outre les secteurs énumérés plus haut, certains participants ont suggéré de financer d’autres initiatives, notamment des services aux personnes ayant des problèmes de santé mentale et de toxicomanie et des refuges pour les sans-abri.</w:t>
      </w:r>
      <w:bookmarkEnd w:id="128"/>
      <w:r w:rsidRPr="007263C1">
        <w:rPr>
          <w:lang w:val="fr-CA"/>
        </w:rPr>
        <w:t xml:space="preserve">  </w:t>
      </w:r>
    </w:p>
    <w:p w14:paraId="4AA51C1B" w14:textId="77777777" w:rsidR="00974C73" w:rsidRPr="007263C1" w:rsidRDefault="00974C73" w:rsidP="00974C73">
      <w:pPr>
        <w:pStyle w:val="Heading3"/>
        <w:rPr>
          <w:lang w:val="fr-CA"/>
        </w:rPr>
      </w:pPr>
      <w:bookmarkStart w:id="129" w:name="lt_pId273"/>
      <w:r w:rsidRPr="007263C1">
        <w:rPr>
          <w:lang w:val="fr-CA"/>
        </w:rPr>
        <w:t>Phrases pour décrire l’économie (parents de la RGT, bénéficiaires de la PCU de petites villes et de villes de taille moyenne de l’Alberta, aînés de Montréal, aînés de grandes villes ontariennes, bénéficiaires de la PCU de petites villes et de villes de taille moyenne du Québec, parents de Vancouver)</w:t>
      </w:r>
      <w:bookmarkEnd w:id="129"/>
    </w:p>
    <w:p w14:paraId="3B34176B" w14:textId="77777777" w:rsidR="00974C73" w:rsidRPr="007263C1" w:rsidRDefault="00974C73" w:rsidP="00974C73">
      <w:pPr>
        <w:rPr>
          <w:lang w:val="fr-CA"/>
        </w:rPr>
      </w:pPr>
      <w:bookmarkStart w:id="130" w:name="lt_pId274"/>
      <w:r w:rsidRPr="007263C1">
        <w:rPr>
          <w:lang w:val="fr-CA"/>
        </w:rPr>
        <w:t>On a soumis aux participants trois expressions à l’aide desquelles le gouvernement du Canada pourrait présenter son plan de relance économique : reprise, redémarrage et nouveau départ</w:t>
      </w:r>
      <w:bookmarkEnd w:id="130"/>
      <w:r w:rsidRPr="007263C1">
        <w:rPr>
          <w:lang w:val="fr-CA"/>
        </w:rPr>
        <w:t xml:space="preserve">. </w:t>
      </w:r>
      <w:bookmarkStart w:id="131" w:name="lt_pId275"/>
      <w:r w:rsidRPr="007263C1">
        <w:rPr>
          <w:lang w:val="fr-CA"/>
        </w:rPr>
        <w:t>La discussion visant à déterminer laquelle de ces formules convenait le mieux s’est focalisée sur les deux premières.</w:t>
      </w:r>
      <w:bookmarkEnd w:id="131"/>
      <w:r w:rsidRPr="007263C1">
        <w:rPr>
          <w:lang w:val="fr-CA"/>
        </w:rPr>
        <w:t xml:space="preserve"> </w:t>
      </w:r>
      <w:bookmarkStart w:id="132" w:name="lt_pId276"/>
      <w:r w:rsidRPr="007263C1">
        <w:rPr>
          <w:lang w:val="fr-CA"/>
        </w:rPr>
        <w:t>Alors que « reprise » évoquait une certaine continuité des progrès économiques par rapport à la situation précédant la COVID-19, « redémarrage » suggérait une nouvelle réflexion sur le mode de fonctionnement des entreprises.</w:t>
      </w:r>
      <w:bookmarkEnd w:id="132"/>
      <w:r w:rsidRPr="007263C1">
        <w:rPr>
          <w:lang w:val="fr-CA"/>
        </w:rPr>
        <w:t xml:space="preserve"> </w:t>
      </w:r>
      <w:bookmarkStart w:id="133" w:name="lt_pId277"/>
      <w:r w:rsidRPr="007263C1">
        <w:rPr>
          <w:lang w:val="fr-CA"/>
        </w:rPr>
        <w:t>Les participants ont examiné de près ces termes sur le plan du sens, du ton et de l’adéquation au contexte.</w:t>
      </w:r>
      <w:bookmarkEnd w:id="133"/>
      <w:r w:rsidRPr="007263C1">
        <w:rPr>
          <w:lang w:val="fr-CA"/>
        </w:rPr>
        <w:t xml:space="preserve"> </w:t>
      </w:r>
      <w:bookmarkStart w:id="134" w:name="lt_pId278"/>
      <w:r w:rsidRPr="007263C1">
        <w:rPr>
          <w:lang w:val="fr-CA"/>
        </w:rPr>
        <w:t>D’après certains, « redémarrage » avait une connotation neutre ou optimiste et évoquait un processus plus instantané, tandis que « reprise » semblait donner espoir et impliquer des délais plus longs et sans doute plus réalistes.</w:t>
      </w:r>
      <w:bookmarkEnd w:id="134"/>
    </w:p>
    <w:p w14:paraId="58733504" w14:textId="77777777" w:rsidR="00974C73" w:rsidRPr="007263C1" w:rsidRDefault="00974C73" w:rsidP="00974C73">
      <w:pPr>
        <w:rPr>
          <w:lang w:val="fr-CA"/>
        </w:rPr>
      </w:pPr>
      <w:bookmarkStart w:id="135" w:name="lt_pId279"/>
      <w:r w:rsidRPr="007263C1">
        <w:rPr>
          <w:lang w:val="fr-CA"/>
        </w:rPr>
        <w:t xml:space="preserve">L’expression « nouveau départ » est celle qui </w:t>
      </w:r>
      <w:proofErr w:type="gramStart"/>
      <w:r w:rsidRPr="007263C1">
        <w:rPr>
          <w:lang w:val="fr-CA"/>
        </w:rPr>
        <w:t>a</w:t>
      </w:r>
      <w:proofErr w:type="gramEnd"/>
      <w:r w:rsidRPr="007263C1">
        <w:rPr>
          <w:lang w:val="fr-CA"/>
        </w:rPr>
        <w:t xml:space="preserve"> le moins plu dans presque tous les groupes, au premier chef parce qu’elle donnait l’impression d’un retour à la case départ. Or, beaucoup croyaient que l’économie canadienne avait des assises relativement solides avant l’apparition du virus.</w:t>
      </w:r>
      <w:bookmarkEnd w:id="135"/>
    </w:p>
    <w:p w14:paraId="56C5CFCA" w14:textId="77777777" w:rsidR="00974C73" w:rsidRPr="007263C1" w:rsidRDefault="00974C73" w:rsidP="00974C73">
      <w:pPr>
        <w:pStyle w:val="Heading3"/>
        <w:rPr>
          <w:lang w:val="fr-CA"/>
        </w:rPr>
      </w:pPr>
      <w:bookmarkStart w:id="136" w:name="lt_pId280"/>
      <w:r w:rsidRPr="007263C1">
        <w:rPr>
          <w:lang w:val="fr-CA"/>
        </w:rPr>
        <w:t>Objectifs pour l’économie (tous les lieux</w:t>
      </w:r>
      <w:r>
        <w:rPr>
          <w:lang w:val="fr-CA"/>
        </w:rPr>
        <w:t>,</w:t>
      </w:r>
      <w:r w:rsidRPr="007263C1">
        <w:rPr>
          <w:lang w:val="fr-CA"/>
        </w:rPr>
        <w:t xml:space="preserve"> sauf les grandes villes du Canada atlantique et le Québec rural)</w:t>
      </w:r>
      <w:bookmarkEnd w:id="136"/>
    </w:p>
    <w:p w14:paraId="7DC16374" w14:textId="77777777" w:rsidR="00974C73" w:rsidRPr="007263C1" w:rsidRDefault="00974C73" w:rsidP="00974C73">
      <w:pPr>
        <w:rPr>
          <w:lang w:val="fr-CA"/>
        </w:rPr>
      </w:pPr>
      <w:bookmarkStart w:id="137" w:name="lt_pId281"/>
      <w:r w:rsidRPr="007263C1">
        <w:rPr>
          <w:lang w:val="fr-CA"/>
        </w:rPr>
        <w:t>En ce qui concerne les objectifs pour l’économie, on a demandé aux participants de commenter une série de formulations qui décrivent le type d’économie vers lequel le Canada pourrait tendre</w:t>
      </w:r>
      <w:bookmarkEnd w:id="137"/>
      <w:r w:rsidRPr="007263C1">
        <w:rPr>
          <w:lang w:val="fr-CA"/>
        </w:rPr>
        <w:t> :</w:t>
      </w:r>
    </w:p>
    <w:p w14:paraId="7F1148A1" w14:textId="77777777" w:rsidR="00974C73" w:rsidRPr="007263C1" w:rsidRDefault="00974C73" w:rsidP="00974C73">
      <w:pPr>
        <w:pStyle w:val="ListParagraph"/>
        <w:rPr>
          <w:i/>
          <w:iCs/>
          <w:szCs w:val="20"/>
          <w:lang w:val="fr-CA" w:eastAsia="en-CA"/>
        </w:rPr>
      </w:pPr>
      <w:bookmarkStart w:id="138" w:name="lt_pId282"/>
      <w:r w:rsidRPr="007263C1">
        <w:rPr>
          <w:szCs w:val="20"/>
          <w:lang w:val="fr-CA" w:eastAsia="en-CA"/>
        </w:rPr>
        <w:t>Une économie à l’épreuve du temps (</w:t>
      </w:r>
      <w:r w:rsidRPr="007263C1">
        <w:rPr>
          <w:lang w:val="fr-CA"/>
        </w:rPr>
        <w:t>ce terme a été supprimé après la tenue des six premiers groupes</w:t>
      </w:r>
      <w:r w:rsidRPr="007263C1">
        <w:rPr>
          <w:szCs w:val="20"/>
          <w:lang w:val="fr-CA" w:eastAsia="en-CA"/>
        </w:rPr>
        <w:t>)</w:t>
      </w:r>
      <w:bookmarkEnd w:id="138"/>
    </w:p>
    <w:p w14:paraId="551C537B" w14:textId="77777777" w:rsidR="00974C73" w:rsidRPr="007263C1" w:rsidRDefault="00974C73" w:rsidP="00974C73">
      <w:pPr>
        <w:pStyle w:val="ListParagraph"/>
        <w:rPr>
          <w:i/>
          <w:iCs/>
          <w:szCs w:val="20"/>
          <w:lang w:val="fr-CA" w:eastAsia="en-CA"/>
        </w:rPr>
      </w:pPr>
      <w:r w:rsidRPr="007263C1">
        <w:rPr>
          <w:lang w:val="fr-CA"/>
        </w:rPr>
        <w:t>Une économie verte, ou une économie plus verte (la seconde formulation a remplacé la première dans les quatre derniers groupes qui ont abordé la question)</w:t>
      </w:r>
    </w:p>
    <w:p w14:paraId="3ABB6D6D" w14:textId="77777777" w:rsidR="00974C73" w:rsidRPr="007263C1" w:rsidRDefault="00974C73" w:rsidP="00974C73">
      <w:pPr>
        <w:pStyle w:val="ListParagraph"/>
        <w:rPr>
          <w:i/>
          <w:iCs/>
          <w:szCs w:val="20"/>
          <w:lang w:val="fr-CA" w:eastAsia="en-CA"/>
        </w:rPr>
      </w:pPr>
      <w:r w:rsidRPr="007263C1">
        <w:rPr>
          <w:lang w:val="fr-CA"/>
        </w:rPr>
        <w:t xml:space="preserve">Une économie en santé </w:t>
      </w:r>
    </w:p>
    <w:p w14:paraId="4361BCF9" w14:textId="77777777" w:rsidR="00974C73" w:rsidRPr="007263C1" w:rsidRDefault="00974C73" w:rsidP="00974C73">
      <w:pPr>
        <w:pStyle w:val="ListParagraph"/>
        <w:rPr>
          <w:i/>
          <w:iCs/>
          <w:szCs w:val="20"/>
          <w:lang w:val="fr-CA" w:eastAsia="en-CA"/>
        </w:rPr>
      </w:pPr>
      <w:r w:rsidRPr="007263C1">
        <w:rPr>
          <w:lang w:val="fr-CA"/>
        </w:rPr>
        <w:t>Une économie moderne</w:t>
      </w:r>
    </w:p>
    <w:p w14:paraId="179B7626" w14:textId="77777777" w:rsidR="00974C73" w:rsidRPr="007263C1" w:rsidRDefault="00974C73" w:rsidP="00974C73">
      <w:pPr>
        <w:pStyle w:val="ListParagraph"/>
        <w:rPr>
          <w:i/>
          <w:iCs/>
          <w:szCs w:val="20"/>
          <w:lang w:val="fr-CA" w:eastAsia="en-CA"/>
        </w:rPr>
      </w:pPr>
      <w:r w:rsidRPr="007263C1">
        <w:rPr>
          <w:lang w:val="fr-CA"/>
        </w:rPr>
        <w:t>Une économie novatrice (ce choix n’a été présenté que dans quatre des dix groupes qui ont abordé la question)</w:t>
      </w:r>
    </w:p>
    <w:p w14:paraId="4210538A" w14:textId="77777777" w:rsidR="00974C73" w:rsidRPr="007263C1" w:rsidRDefault="00974C73" w:rsidP="00974C73">
      <w:pPr>
        <w:pStyle w:val="ListParagraph"/>
        <w:rPr>
          <w:i/>
          <w:iCs/>
          <w:szCs w:val="20"/>
          <w:lang w:val="fr-CA" w:eastAsia="en-CA"/>
        </w:rPr>
      </w:pPr>
      <w:r w:rsidRPr="007263C1">
        <w:rPr>
          <w:lang w:val="fr-CA"/>
        </w:rPr>
        <w:t>Une économie résiliente</w:t>
      </w:r>
    </w:p>
    <w:p w14:paraId="4AAD4AAE" w14:textId="55C081AA" w:rsidR="00974C73" w:rsidRPr="00B4200C" w:rsidRDefault="00974C73" w:rsidP="00974C73">
      <w:pPr>
        <w:pStyle w:val="ListParagraph"/>
        <w:rPr>
          <w:i/>
          <w:iCs/>
          <w:szCs w:val="20"/>
          <w:lang w:val="fr-CA" w:eastAsia="en-CA"/>
        </w:rPr>
      </w:pPr>
      <w:r w:rsidRPr="007263C1">
        <w:rPr>
          <w:lang w:val="fr-CA"/>
        </w:rPr>
        <w:t>Une économie forte</w:t>
      </w:r>
    </w:p>
    <w:p w14:paraId="7516C801" w14:textId="77777777" w:rsidR="00974C73" w:rsidRPr="007263C1" w:rsidRDefault="00974C73" w:rsidP="00974C73">
      <w:pPr>
        <w:rPr>
          <w:lang w:val="fr-CA"/>
        </w:rPr>
      </w:pPr>
      <w:bookmarkStart w:id="139" w:name="lt_pId291"/>
      <w:r w:rsidRPr="007263C1">
        <w:rPr>
          <w:lang w:val="fr-CA"/>
        </w:rPr>
        <w:t xml:space="preserve">L’objectif d’une « économie résiliente » a fait consensus dans tous les groupes ou presque. Ce choix a été retenu au moins deux fois plus souvent que tout autre. La résilience suggérait l’indépendance (p. ex., l’autosuffisance et la préférence donnée aux produits « faits au Canada »), l’adaptabilité, y compris la capacité d’affronter les imprévus, une économie agile et un mouvement vers l’avant. Pour certains participants, elle impliquait aussi de penser différemment, avec plus de créativité, et de veiller </w:t>
      </w:r>
      <w:r w:rsidRPr="007263C1">
        <w:rPr>
          <w:lang w:val="fr-CA"/>
        </w:rPr>
        <w:lastRenderedPageBreak/>
        <w:t>à ce que des plans et des solutions de rechange soient envisagés et puissent être mis en œuvre sans délai, le cas échéant.</w:t>
      </w:r>
      <w:bookmarkEnd w:id="139"/>
      <w:r w:rsidRPr="007263C1">
        <w:rPr>
          <w:lang w:val="fr-CA"/>
        </w:rPr>
        <w:t xml:space="preserve"> </w:t>
      </w:r>
      <w:bookmarkStart w:id="140" w:name="lt_pId292"/>
      <w:r w:rsidRPr="007263C1">
        <w:rPr>
          <w:lang w:val="fr-CA"/>
        </w:rPr>
        <w:t xml:space="preserve">Pour d’autres, la résilience englobait la notion de diversification, laquelle appuyait l’objectif d’une indépendance économique et d’une autonomie </w:t>
      </w:r>
      <w:proofErr w:type="gramStart"/>
      <w:r w:rsidRPr="007263C1">
        <w:rPr>
          <w:lang w:val="fr-CA"/>
        </w:rPr>
        <w:t>accrues</w:t>
      </w:r>
      <w:proofErr w:type="gramEnd"/>
      <w:r w:rsidRPr="007263C1">
        <w:rPr>
          <w:lang w:val="fr-CA"/>
        </w:rPr>
        <w:t>.</w:t>
      </w:r>
      <w:bookmarkEnd w:id="140"/>
    </w:p>
    <w:p w14:paraId="0603C38E" w14:textId="77777777" w:rsidR="00974C73" w:rsidRPr="007263C1" w:rsidRDefault="00974C73" w:rsidP="00974C73">
      <w:pPr>
        <w:pStyle w:val="Heading3"/>
        <w:rPr>
          <w:lang w:val="fr-CA"/>
        </w:rPr>
      </w:pPr>
      <w:bookmarkStart w:id="141" w:name="lt_pId293"/>
      <w:r w:rsidRPr="007263C1">
        <w:rPr>
          <w:lang w:val="fr-CA"/>
        </w:rPr>
        <w:t>Autres défis (parents de la RGT, bénéficiaires de la PCU de petites villes et de villes de taille moyenne de l’Alberta)</w:t>
      </w:r>
      <w:bookmarkEnd w:id="141"/>
    </w:p>
    <w:p w14:paraId="5971D55B" w14:textId="77777777" w:rsidR="00974C73" w:rsidRPr="007263C1" w:rsidRDefault="00974C73" w:rsidP="00974C73">
      <w:pPr>
        <w:rPr>
          <w:lang w:val="fr-CA"/>
        </w:rPr>
      </w:pPr>
      <w:bookmarkStart w:id="142" w:name="lt_pId294"/>
      <w:r w:rsidRPr="007263C1">
        <w:rPr>
          <w:lang w:val="fr-CA"/>
        </w:rPr>
        <w:t>Au terme de cette conversation principalement axée sur les enjeux économiques de la COVID-19, les participants ont eu l’occasion de signaler d’autres défis sociétaux nés de la pandémie.</w:t>
      </w:r>
      <w:bookmarkEnd w:id="142"/>
      <w:r w:rsidRPr="007263C1">
        <w:rPr>
          <w:lang w:val="fr-CA"/>
        </w:rPr>
        <w:t xml:space="preserve"> </w:t>
      </w:r>
      <w:bookmarkStart w:id="143" w:name="lt_pId295"/>
      <w:r w:rsidRPr="007263C1">
        <w:rPr>
          <w:lang w:val="fr-CA"/>
        </w:rPr>
        <w:t>Les thèmes suivants ont été soulevés, sans toutefois faire consensus entre les groupes ou au sein d’un groupe, ni susciter de discussions approfondies</w:t>
      </w:r>
      <w:bookmarkEnd w:id="143"/>
      <w:r w:rsidRPr="007263C1">
        <w:rPr>
          <w:lang w:val="fr-CA"/>
        </w:rPr>
        <w:t> :</w:t>
      </w:r>
    </w:p>
    <w:p w14:paraId="7F12FBCA" w14:textId="77777777" w:rsidR="00974C73" w:rsidRPr="007263C1" w:rsidRDefault="00974C73" w:rsidP="00974C73">
      <w:pPr>
        <w:pStyle w:val="ListParagraph"/>
        <w:rPr>
          <w:lang w:val="fr-CA" w:eastAsia="en-CA"/>
        </w:rPr>
      </w:pPr>
      <w:bookmarkStart w:id="144" w:name="lt_pId296"/>
      <w:r w:rsidRPr="007263C1">
        <w:rPr>
          <w:lang w:val="fr-CA" w:eastAsia="en-CA"/>
        </w:rPr>
        <w:t xml:space="preserve">La santé mentale, l’anxiété et le stress, les dépendances, les taux de suicide </w:t>
      </w:r>
      <w:bookmarkEnd w:id="144"/>
    </w:p>
    <w:p w14:paraId="16527EA1" w14:textId="77777777" w:rsidR="00974C73" w:rsidRPr="007263C1" w:rsidRDefault="00974C73" w:rsidP="00974C73">
      <w:pPr>
        <w:pStyle w:val="ListParagraph"/>
        <w:rPr>
          <w:lang w:val="fr-CA" w:eastAsia="en-CA"/>
        </w:rPr>
      </w:pPr>
      <w:r w:rsidRPr="007263C1">
        <w:rPr>
          <w:lang w:val="fr-CA" w:eastAsia="en-CA"/>
        </w:rPr>
        <w:t>La violence familiale</w:t>
      </w:r>
    </w:p>
    <w:p w14:paraId="75D09EE8" w14:textId="77777777" w:rsidR="00974C73" w:rsidRPr="007263C1" w:rsidRDefault="00974C73" w:rsidP="00974C73">
      <w:pPr>
        <w:pStyle w:val="ListParagraph"/>
        <w:rPr>
          <w:lang w:val="fr-CA" w:eastAsia="en-CA"/>
        </w:rPr>
      </w:pPr>
      <w:r w:rsidRPr="007263C1">
        <w:rPr>
          <w:lang w:val="fr-CA" w:eastAsia="en-CA"/>
        </w:rPr>
        <w:t>Les soins de longue durée</w:t>
      </w:r>
    </w:p>
    <w:p w14:paraId="5F6D21DD" w14:textId="77777777" w:rsidR="00974C73" w:rsidRPr="007263C1" w:rsidRDefault="00974C73" w:rsidP="00974C73">
      <w:pPr>
        <w:pStyle w:val="ListParagraph"/>
        <w:rPr>
          <w:lang w:val="fr-CA" w:eastAsia="en-CA"/>
        </w:rPr>
      </w:pPr>
      <w:r w:rsidRPr="007263C1">
        <w:rPr>
          <w:lang w:val="fr-CA" w:eastAsia="en-CA"/>
        </w:rPr>
        <w:t xml:space="preserve">L’environnement </w:t>
      </w:r>
    </w:p>
    <w:p w14:paraId="78B91797" w14:textId="77777777" w:rsidR="00974C73" w:rsidRPr="007263C1" w:rsidRDefault="00974C73" w:rsidP="00974C73">
      <w:pPr>
        <w:pStyle w:val="Heading2"/>
        <w:rPr>
          <w:lang w:val="fr-CA"/>
        </w:rPr>
      </w:pPr>
      <w:bookmarkStart w:id="145" w:name="_Toc49528410"/>
      <w:bookmarkStart w:id="146" w:name="lt_pId349"/>
      <w:bookmarkStart w:id="147" w:name="_Toc42591968"/>
      <w:r w:rsidRPr="007263C1">
        <w:rPr>
          <w:lang w:val="fr-CA"/>
        </w:rPr>
        <w:t>Évaluation de publicités sur la COVID-19 (grandes villes du Canada atlantique, Québec rural)</w:t>
      </w:r>
      <w:bookmarkEnd w:id="145"/>
    </w:p>
    <w:p w14:paraId="6FCAE2CE" w14:textId="77777777" w:rsidR="00974C73" w:rsidRPr="007263C1" w:rsidRDefault="00974C73" w:rsidP="00974C73">
      <w:pPr>
        <w:pStyle w:val="Heading3"/>
        <w:rPr>
          <w:lang w:val="fr-CA"/>
        </w:rPr>
      </w:pPr>
      <w:r w:rsidRPr="007263C1">
        <w:rPr>
          <w:lang w:val="fr-CA"/>
        </w:rPr>
        <w:t xml:space="preserve">Concepts de marque pour la COVID-19 (grandes villes du Canada atlantique, Québec rural) </w:t>
      </w:r>
    </w:p>
    <w:p w14:paraId="556BE8DA" w14:textId="77777777" w:rsidR="00974C73" w:rsidRPr="007263C1" w:rsidRDefault="00974C73" w:rsidP="00974C73">
      <w:pPr>
        <w:rPr>
          <w:lang w:val="fr-CA"/>
        </w:rPr>
      </w:pPr>
      <w:r w:rsidRPr="007263C1">
        <w:rPr>
          <w:lang w:val="fr-CA"/>
        </w:rPr>
        <w:t>On a montré aux participants des deux derniers groupes tenus dans le mois de juin trois concepts créatifs (et deux versions de chaque concept) qui pourraient être utilisés par le gouvernement du Canada pour informer les Canadiens sur la COVID-19 — désignés respectivement par concepts A1 et A2, B1 et B2 et C1 et C2. Pour chaque concept, y compris la version originale et l’autre version, on a présenté différents « styles visuels » conçus pour divers supports, dont une publicité à l’intention des personnes qui pourraient avoir un intérêt à voyager qui serait affichée sur Facebook, et des exemples de publicités pouvant être utilisées dans les médias imprimés ou comme panneaux publicitaires (les divers concepts créatifs sont traités dans les résultats détaillés). La version originale était toujours présentée en premier aux participants, suivie de l’autre version. Après avoir laissé aux participants le temps d’examiner et d’évaluer séparément chaque concept, on leur a demandé de sélectionner parmi les trois celui qu’ils trouvaient le plus persuasif.</w:t>
      </w:r>
    </w:p>
    <w:p w14:paraId="27D0E251" w14:textId="77777777" w:rsidR="00974C73" w:rsidRPr="007263C1" w:rsidRDefault="00974C73" w:rsidP="00974C73">
      <w:pPr>
        <w:rPr>
          <w:lang w:val="fr-CA"/>
        </w:rPr>
      </w:pPr>
      <w:r w:rsidRPr="007263C1">
        <w:rPr>
          <w:lang w:val="fr-CA"/>
        </w:rPr>
        <w:t xml:space="preserve">Les trois concepts ont suscité de nombreuses réactions positives chez les participants, qui ont toutefois désigné comme premier choix le concept C, en particulier la version C1. Ils aimaient particulièrement l’emploi du contour d’une feuille d’érable comme élément créatif pour encadrer différentes images de personnes portant un masque. Dans l’ensemble, ce concept était jugé le plus percutant, en raison d’un heureux mariage d’éléments graphiques et d’images et d’une palette de couleurs qui plaisait aux participants. </w:t>
      </w:r>
    </w:p>
    <w:p w14:paraId="1386FF37" w14:textId="77777777" w:rsidR="00974C73" w:rsidRPr="007263C1" w:rsidRDefault="00974C73" w:rsidP="00974C73">
      <w:pPr>
        <w:rPr>
          <w:lang w:val="fr-CA"/>
        </w:rPr>
      </w:pPr>
      <w:r w:rsidRPr="007263C1">
        <w:rPr>
          <w:lang w:val="fr-CA"/>
        </w:rPr>
        <w:t xml:space="preserve">Les participants ont formulé à maintes reprises des commentaires sur la combinaison de couleurs utilisée dans les divers concepts et chacune de leurs versions. À la lumière de leurs réactions, l’efficacité de la publicité repose beaucoup sur cet élément créatif et notamment sur l’association subconsciente de certaines couleurs à des types précis de messages ou d’émotions. Par exemple, les </w:t>
      </w:r>
      <w:r w:rsidRPr="007263C1">
        <w:rPr>
          <w:lang w:val="fr-CA"/>
        </w:rPr>
        <w:lastRenderedPageBreak/>
        <w:t>participants ont réagi plus fortement à la combinaison de jaune vif et de noir employée dans le concept B, que certains associaient d’emblée au domaine publicitaire et aux messages axés sur la « sécurité </w:t>
      </w:r>
      <w:proofErr w:type="gramStart"/>
      <w:r w:rsidRPr="007263C1">
        <w:rPr>
          <w:lang w:val="fr-CA"/>
        </w:rPr>
        <w:t>»;</w:t>
      </w:r>
      <w:proofErr w:type="gramEnd"/>
      <w:r w:rsidRPr="007263C1">
        <w:rPr>
          <w:lang w:val="fr-CA"/>
        </w:rPr>
        <w:t xml:space="preserve"> d’autres avaient l’impression que ce concept s’apparentait davantage à une publicité de « santé et sécurité au travail » que de « santé publique ». De plus, le contraste prononcé des couleurs utilisées dans le concept B a suscité autant de commentaires négatifs que positifs. Même si la palette de couleurs de la version C1 était assez subtile par rapport au choix de couleurs de la version C2, et aux combinaisons de couleurs des concepts A et B, les participants trouvaient qu’elle avait un effet apaisant, qui ne nuisait pas à sa capacité à attirer l’attention du public ou à inciter les participants à lire la publicité. </w:t>
      </w:r>
    </w:p>
    <w:p w14:paraId="3CF9A6E4" w14:textId="77777777" w:rsidR="00974C73" w:rsidRPr="007263C1" w:rsidRDefault="00974C73" w:rsidP="00974C73">
      <w:pPr>
        <w:rPr>
          <w:lang w:val="fr-CA"/>
        </w:rPr>
      </w:pPr>
      <w:r w:rsidRPr="007263C1">
        <w:rPr>
          <w:lang w:val="fr-CA"/>
        </w:rPr>
        <w:t xml:space="preserve">Les participants estimaient que la feuille d’érable intégrée au concept C1 lui donnait un style résolument canadien et qu’il s’agissait d’un élément puissant, unificateur et constant qui était très facile à reconnaître dans les différents supports. </w:t>
      </w:r>
    </w:p>
    <w:p w14:paraId="50843E5C" w14:textId="77777777" w:rsidR="00974C73" w:rsidRPr="007263C1" w:rsidRDefault="00974C73" w:rsidP="00974C73">
      <w:pPr>
        <w:rPr>
          <w:lang w:val="fr-CA"/>
        </w:rPr>
      </w:pPr>
      <w:r w:rsidRPr="007263C1">
        <w:rPr>
          <w:lang w:val="fr-CA"/>
        </w:rPr>
        <w:t xml:space="preserve">Les photographies et les images utilisées dans les concepts ont également capté l’attention des participants. Les masques superposés sur les photographies d’adultes et d’enfants à l’aide d’un logiciel de retouche dans le concept A ont reçu un accueil mitigé. Certains trouvaient que ça les faisait ressortir et renforçait le message sur le port du masque lorsqu’il est difficile de pratiquer la distanciation </w:t>
      </w:r>
      <w:proofErr w:type="gramStart"/>
      <w:r w:rsidRPr="007263C1">
        <w:rPr>
          <w:lang w:val="fr-CA"/>
        </w:rPr>
        <w:t>physique;</w:t>
      </w:r>
      <w:proofErr w:type="gramEnd"/>
      <w:r w:rsidRPr="007263C1">
        <w:rPr>
          <w:lang w:val="fr-CA"/>
        </w:rPr>
        <w:t xml:space="preserve"> d’autres estimaient que ces masques amoindrissaient la qualité professionnelle ou générale de la publicité. </w:t>
      </w:r>
    </w:p>
    <w:p w14:paraId="7C593ED6" w14:textId="77777777" w:rsidR="00974C73" w:rsidRPr="007263C1" w:rsidRDefault="00974C73" w:rsidP="00974C73">
      <w:pPr>
        <w:rPr>
          <w:lang w:val="fr-CA"/>
        </w:rPr>
      </w:pPr>
      <w:r w:rsidRPr="007263C1">
        <w:rPr>
          <w:lang w:val="fr-CA"/>
        </w:rPr>
        <w:t>Voici ce qu’on a appris d’autre durant l’évaluation des concepts :</w:t>
      </w:r>
    </w:p>
    <w:p w14:paraId="06CC9BC5" w14:textId="77777777" w:rsidR="00974C73" w:rsidRPr="00B4200C" w:rsidRDefault="00974C73" w:rsidP="00974C73">
      <w:pPr>
        <w:pStyle w:val="ListParagraph"/>
        <w:rPr>
          <w:lang w:val="fr-CA"/>
        </w:rPr>
      </w:pPr>
      <w:r w:rsidRPr="00B4200C">
        <w:rPr>
          <w:lang w:val="fr-CA"/>
        </w:rPr>
        <w:t xml:space="preserve">En général, l’utilisation ou la surutilisation d’icônes, en plus des photographies, ne plaisaient guère aux </w:t>
      </w:r>
      <w:proofErr w:type="gramStart"/>
      <w:r w:rsidRPr="00B4200C">
        <w:rPr>
          <w:lang w:val="fr-CA"/>
        </w:rPr>
        <w:t>participants;</w:t>
      </w:r>
      <w:proofErr w:type="gramEnd"/>
    </w:p>
    <w:p w14:paraId="72808A23" w14:textId="77777777" w:rsidR="00974C73" w:rsidRPr="00B4200C" w:rsidRDefault="00974C73" w:rsidP="00974C73">
      <w:pPr>
        <w:pStyle w:val="ListParagraph"/>
        <w:rPr>
          <w:lang w:val="fr-CA"/>
        </w:rPr>
      </w:pPr>
      <w:r w:rsidRPr="00B4200C">
        <w:rPr>
          <w:lang w:val="fr-CA"/>
        </w:rPr>
        <w:t xml:space="preserve">De même, les éléments supplémentaires redondants, comme les icônes, alourdissaient le style et ont suscité des commentaires négatifs chez plusieurs participants. Ces derniers aimaient mieux un style simple et épuré, qui leur semblait non seulement rassurant, mais leur permettait aussi de se concentrer sur le message. Tout compte fait, les participants préféraient les photographies aux </w:t>
      </w:r>
      <w:proofErr w:type="gramStart"/>
      <w:r w:rsidRPr="00B4200C">
        <w:rPr>
          <w:lang w:val="fr-CA"/>
        </w:rPr>
        <w:t>icônes;</w:t>
      </w:r>
      <w:proofErr w:type="gramEnd"/>
    </w:p>
    <w:p w14:paraId="48405C0C" w14:textId="77777777" w:rsidR="00974C73" w:rsidRPr="00B4200C" w:rsidRDefault="00974C73" w:rsidP="00974C73">
      <w:pPr>
        <w:pStyle w:val="ListParagraph"/>
        <w:rPr>
          <w:lang w:val="fr-CA"/>
        </w:rPr>
      </w:pPr>
      <w:r w:rsidRPr="00B4200C">
        <w:rPr>
          <w:lang w:val="fr-CA"/>
        </w:rPr>
        <w:t xml:space="preserve">Ils avaient aussi une préférence pour un style de caractère officiel normal ou gras, qui donnait selon eux un aspect plus « gouvernemental » et aidait à consolider l’image de </w:t>
      </w:r>
      <w:proofErr w:type="gramStart"/>
      <w:r w:rsidRPr="00B4200C">
        <w:rPr>
          <w:lang w:val="fr-CA"/>
        </w:rPr>
        <w:t>marque;</w:t>
      </w:r>
      <w:proofErr w:type="gramEnd"/>
    </w:p>
    <w:p w14:paraId="68181199" w14:textId="77777777" w:rsidR="00974C73" w:rsidRPr="00B4200C" w:rsidRDefault="00974C73" w:rsidP="00974C73">
      <w:pPr>
        <w:pStyle w:val="ListParagraph"/>
        <w:rPr>
          <w:lang w:val="fr-CA"/>
        </w:rPr>
      </w:pPr>
      <w:r w:rsidRPr="00B4200C">
        <w:rPr>
          <w:lang w:val="fr-CA"/>
        </w:rPr>
        <w:t>Selon les participants, la plupart des concepts comportaient un élément constant (p. ex. un trait blanc dans le concept A, le jaune et le noir dans le concept B, la feuille d’érable dans le concept C1) qui renforçait les liens entre les supports. Comme il a été mentionné auparavant, les participants reconnaissaient d’emblée la feuille d’érable et n’avaient pas de difficulté à remarquer ce symbole connu de tous.</w:t>
      </w:r>
    </w:p>
    <w:p w14:paraId="7E68013B" w14:textId="77777777" w:rsidR="00974C73" w:rsidRPr="007263C1" w:rsidRDefault="00974C73" w:rsidP="00974C73">
      <w:pPr>
        <w:pStyle w:val="Heading3"/>
        <w:rPr>
          <w:lang w:val="fr-CA"/>
        </w:rPr>
      </w:pPr>
      <w:r w:rsidRPr="007263C1">
        <w:rPr>
          <w:lang w:val="fr-CA"/>
        </w:rPr>
        <w:t>Témoignage publicitaire sur la COVID-19 (Québec rural)</w:t>
      </w:r>
    </w:p>
    <w:p w14:paraId="77042ECA" w14:textId="77777777" w:rsidR="00974C73" w:rsidRPr="007263C1" w:rsidRDefault="00974C73" w:rsidP="00974C73">
      <w:pPr>
        <w:rPr>
          <w:lang w:val="fr-CA"/>
        </w:rPr>
      </w:pPr>
      <w:r w:rsidRPr="007263C1">
        <w:rPr>
          <w:lang w:val="fr-CA"/>
        </w:rPr>
        <w:t xml:space="preserve">On a montré aux participants du Québec rural un concept de publicité télévisuelle pour le gouvernement du Canada qui est en cours d’élaboration. La publicité présente une conversation entre un jeune homme et une jeune femme qui forment un couple. Voici le scénario exposé dans la vidéo : la femme, qui souffre d’autres problèmes de santé sous-jacents, s’est mise à manifester des symptômes </w:t>
      </w:r>
      <w:r w:rsidRPr="007263C1">
        <w:rPr>
          <w:lang w:val="fr-CA"/>
        </w:rPr>
        <w:lastRenderedPageBreak/>
        <w:t>de la COVID-19. Elle a été hospitalisée pendant un mois. Elle a survécu et la publicité met en scène une brève conservation sur un banc de parc sur l’expérience globale pour chacun d’eux.</w:t>
      </w:r>
    </w:p>
    <w:p w14:paraId="7683ED0C" w14:textId="77777777" w:rsidR="00974C73" w:rsidRPr="007263C1" w:rsidRDefault="00974C73" w:rsidP="00974C73">
      <w:pPr>
        <w:rPr>
          <w:lang w:val="fr-CA"/>
        </w:rPr>
      </w:pPr>
      <w:r w:rsidRPr="007263C1">
        <w:rPr>
          <w:lang w:val="fr-CA"/>
        </w:rPr>
        <w:t xml:space="preserve">Les avis des participants étaient partagés. Le renforcement dans la publicité des précautions essentielles à prendre pour réduire la propagation du virus et le risque de contracter la COVID-19 et la communication du message par des jeunes ont été salués par certains participants. Toutefois, les participants ont critiqué différents aspects de la publicité, notamment le fait qu’elle ne semblait pas aussi percutante ou efficace pour induire des changements de comportement. Ils se posaient aussi des questions sur l’histoire de la jeune femme, étant donné qu’elle était plus à risque que d’autres jeunes en raison de ses autres problèmes de santé. Certains ont par ailleurs émis quelques critiques à propos de la production, par exemple que la femme parlait si bas qu’il était difficile d’entendre ce qu’elle disait et que le jeune homme était si peu présent dans la publicité qu’il en ressortait une impression de déséquilibre. </w:t>
      </w:r>
    </w:p>
    <w:p w14:paraId="3E29D454" w14:textId="77777777" w:rsidR="00974C73" w:rsidRPr="007263C1" w:rsidRDefault="00974C73" w:rsidP="00974C73">
      <w:pPr>
        <w:pStyle w:val="Heading2"/>
        <w:rPr>
          <w:lang w:val="fr-CA"/>
        </w:rPr>
      </w:pPr>
      <w:bookmarkStart w:id="148" w:name="_Toc49528411"/>
      <w:r w:rsidRPr="007263C1">
        <w:rPr>
          <w:lang w:val="fr-CA"/>
        </w:rPr>
        <w:t>Application de recherche de contacts (grandes villes du Canada atlantique, Québec rural)</w:t>
      </w:r>
      <w:bookmarkEnd w:id="148"/>
    </w:p>
    <w:p w14:paraId="65C374CD" w14:textId="77777777" w:rsidR="00974C73" w:rsidRPr="007263C1" w:rsidRDefault="00974C73" w:rsidP="00974C73">
      <w:pPr>
        <w:rPr>
          <w:lang w:val="fr-CA"/>
        </w:rPr>
      </w:pPr>
      <w:r w:rsidRPr="007263C1">
        <w:rPr>
          <w:lang w:val="fr-CA"/>
        </w:rPr>
        <w:t xml:space="preserve">Dans l’ensemble, les participants étaient peu au courant de la mise au point d’une application de recherche de contacts nationale et avaient des connaissances limitées à propos de son fonctionnement. Même après avoir obtenu certaines informations sur la technologie, y compris que l’application ne stockera ni ne partagera aucune donnée de localisation, la majorité des participants doutaient encore de son efficacité pour limiter la propagation de la COVID-19. Plusieurs craignaient que l’application ne soit efficace que si un grand nombre de personnes l’utilisent, ce qui risquait peu d’arriver selon eux, compte tenu des faibles taux d’infection (et la tendance à la baisse) dans certaines régions. D’autres se demandaient comment les renseignements des personnes déclarées positives seraient </w:t>
      </w:r>
      <w:proofErr w:type="spellStart"/>
      <w:r w:rsidRPr="007263C1">
        <w:rPr>
          <w:lang w:val="fr-CA"/>
        </w:rPr>
        <w:t>téléversés</w:t>
      </w:r>
      <w:proofErr w:type="spellEnd"/>
      <w:r w:rsidRPr="007263C1">
        <w:rPr>
          <w:lang w:val="fr-CA"/>
        </w:rPr>
        <w:t xml:space="preserve"> et certains ont ensuite émis des doutes concernant l’affirmation que l’anonymat des utilisateurs serait préservé. Plusieurs avaient l’impression que l’application pourrait amener des gens à baisser la garde et à respecter moins scrupuleusement les consignes sanitaires, comme la distanciation physique, le lavage des mains et le port du masque. De nombreux participants jugeaient que l’application leur rappellerait constamment le virus et ne ferait que les rendre plus anxieux. </w:t>
      </w:r>
    </w:p>
    <w:p w14:paraId="1664D7F5" w14:textId="77777777" w:rsidR="00974C73" w:rsidRPr="007263C1" w:rsidRDefault="00974C73" w:rsidP="00974C73">
      <w:pPr>
        <w:rPr>
          <w:lang w:val="fr-CA"/>
        </w:rPr>
      </w:pPr>
      <w:r w:rsidRPr="007263C1">
        <w:rPr>
          <w:lang w:val="fr-CA"/>
        </w:rPr>
        <w:t>Les rares participants qui n’hésiteraient pas à télécharger l’application pensaient qu’elle inciterait les utilisateurs à aller passer plus rapidement un test de dépistage une fois qu’on les aurait avisés qu’ils ont été en contact avec une personne qui a été déclarée positive.</w:t>
      </w:r>
    </w:p>
    <w:p w14:paraId="35BD92AB" w14:textId="77777777" w:rsidR="00974C73" w:rsidRPr="007263C1" w:rsidRDefault="00974C73" w:rsidP="00974C73">
      <w:pPr>
        <w:rPr>
          <w:lang w:val="fr-CA"/>
        </w:rPr>
      </w:pPr>
      <w:r w:rsidRPr="007263C1">
        <w:rPr>
          <w:lang w:val="fr-CA"/>
        </w:rPr>
        <w:t xml:space="preserve">Les participants étaient relativement peu nombreux à se dire préoccupés par la nécessité de laisser la fonction Bluetooth activée pour que l’application soit efficace. L’enjeu pour la plupart des participants ne consistait pas nécessairement à mieux connaître le fonctionnement de la technologie Bluetooth, mais plutôt comment les renseignements sur les personnes déclarées positives sont recueillis et </w:t>
      </w:r>
      <w:proofErr w:type="spellStart"/>
      <w:r w:rsidRPr="007263C1">
        <w:rPr>
          <w:lang w:val="fr-CA"/>
        </w:rPr>
        <w:t>téléversés</w:t>
      </w:r>
      <w:proofErr w:type="spellEnd"/>
      <w:r w:rsidRPr="007263C1">
        <w:rPr>
          <w:lang w:val="fr-CA"/>
        </w:rPr>
        <w:t xml:space="preserve">, tout en protégeant la vie privée et l’anonymat. </w:t>
      </w:r>
    </w:p>
    <w:p w14:paraId="44B07A98" w14:textId="77777777" w:rsidR="00974C73" w:rsidRPr="007263C1" w:rsidRDefault="00974C73" w:rsidP="00974C73">
      <w:pPr>
        <w:rPr>
          <w:lang w:val="fr-CA"/>
        </w:rPr>
      </w:pPr>
      <w:r w:rsidRPr="007263C1">
        <w:rPr>
          <w:lang w:val="fr-CA"/>
        </w:rPr>
        <w:t xml:space="preserve">Par ailleurs, certains ont laissé entendre qu’ils seraient plus enclins à télécharger l’application si les taux d’infection se remettaient à augmenter.  </w:t>
      </w:r>
    </w:p>
    <w:p w14:paraId="415BF634" w14:textId="77777777" w:rsidR="00974C73" w:rsidRPr="007263C1" w:rsidRDefault="00974C73" w:rsidP="00974C73">
      <w:pPr>
        <w:rPr>
          <w:lang w:val="fr-CA"/>
        </w:rPr>
      </w:pPr>
      <w:r w:rsidRPr="007263C1">
        <w:rPr>
          <w:lang w:val="fr-CA"/>
        </w:rPr>
        <w:lastRenderedPageBreak/>
        <w:t>Seuls les participants du Canada atlantique ont été invités à se prononcer sur deux possibilités de noms pour l’application : Alerte COVID et Arrêter la COVID. Même si quelques participants n’aimaient aucune de ces options, les autres préféraient le nom Alerte COVID. Selon eux, il était plus « accrocheur » et décrivait mieux la fonction de l’application (p. ex., envoi d’avis).</w:t>
      </w:r>
      <w:bookmarkEnd w:id="146"/>
      <w:r w:rsidRPr="007263C1">
        <w:rPr>
          <w:lang w:val="fr-CA"/>
        </w:rPr>
        <w:t xml:space="preserve"> </w:t>
      </w:r>
    </w:p>
    <w:p w14:paraId="000112B2" w14:textId="77777777" w:rsidR="00974C73" w:rsidRPr="007263C1" w:rsidRDefault="00974C73" w:rsidP="00974C73">
      <w:pPr>
        <w:rPr>
          <w:lang w:val="fr-CA"/>
        </w:rPr>
      </w:pPr>
    </w:p>
    <w:p w14:paraId="4436D60F" w14:textId="77777777" w:rsidR="00974C73" w:rsidRPr="007263C1" w:rsidRDefault="00974C73" w:rsidP="00974C73">
      <w:pPr>
        <w:rPr>
          <w:sz w:val="28"/>
          <w:szCs w:val="24"/>
          <w:lang w:val="fr-CA"/>
        </w:rPr>
      </w:pPr>
      <w:bookmarkStart w:id="149" w:name="lt_pId350"/>
      <w:r w:rsidRPr="007263C1">
        <w:rPr>
          <w:sz w:val="28"/>
          <w:szCs w:val="24"/>
          <w:lang w:val="fr-CA"/>
        </w:rPr>
        <w:t>Partie II : Autres enjeux</w:t>
      </w:r>
      <w:bookmarkEnd w:id="149"/>
      <w:r w:rsidRPr="007263C1">
        <w:rPr>
          <w:sz w:val="28"/>
          <w:szCs w:val="24"/>
          <w:lang w:val="fr-CA"/>
        </w:rPr>
        <w:t xml:space="preserve"> </w:t>
      </w:r>
    </w:p>
    <w:p w14:paraId="06BEDB6A" w14:textId="77777777" w:rsidR="00974C73" w:rsidRPr="007263C1" w:rsidRDefault="00974C73" w:rsidP="00974C73">
      <w:pPr>
        <w:pStyle w:val="Heading2"/>
        <w:rPr>
          <w:lang w:val="fr-CA"/>
        </w:rPr>
      </w:pPr>
      <w:bookmarkStart w:id="150" w:name="_Toc49528412"/>
      <w:r w:rsidRPr="007263C1">
        <w:rPr>
          <w:lang w:val="fr-CA"/>
        </w:rPr>
        <w:t xml:space="preserve">Racisme (aînés de grandes villes ontariennes, bénéficiaires de la PCU </w:t>
      </w:r>
      <w:r>
        <w:rPr>
          <w:lang w:val="fr-CA"/>
        </w:rPr>
        <w:t>d</w:t>
      </w:r>
      <w:r w:rsidRPr="007263C1">
        <w:rPr>
          <w:lang w:val="fr-CA"/>
        </w:rPr>
        <w:t>u Québec, parents de Vancouver, villes ontariennes de taille moyenne, nord des Prairies, Victoria et Nanaimo, nouveaux arrivants de la GRM)</w:t>
      </w:r>
      <w:bookmarkEnd w:id="150"/>
    </w:p>
    <w:p w14:paraId="62F42A4D" w14:textId="77777777" w:rsidR="00974C73" w:rsidRPr="007263C1" w:rsidRDefault="00974C73" w:rsidP="00974C73">
      <w:pPr>
        <w:rPr>
          <w:lang w:val="fr-CA"/>
        </w:rPr>
      </w:pPr>
      <w:r w:rsidRPr="007263C1">
        <w:rPr>
          <w:lang w:val="fr-CA"/>
        </w:rPr>
        <w:t xml:space="preserve">La majorité des participants avaient entendu parler des manifestations antiracisme qui ont eu lieu en juin et certains ont fait allusion au mouvement </w:t>
      </w:r>
      <w:r w:rsidRPr="007263C1">
        <w:rPr>
          <w:i/>
          <w:iCs/>
          <w:lang w:val="fr-CA"/>
        </w:rPr>
        <w:t xml:space="preserve">Black </w:t>
      </w:r>
      <w:proofErr w:type="spellStart"/>
      <w:r w:rsidRPr="007263C1">
        <w:rPr>
          <w:i/>
          <w:iCs/>
          <w:lang w:val="fr-CA"/>
        </w:rPr>
        <w:t>Lives</w:t>
      </w:r>
      <w:proofErr w:type="spellEnd"/>
      <w:r w:rsidRPr="007263C1">
        <w:rPr>
          <w:i/>
          <w:iCs/>
          <w:lang w:val="fr-CA"/>
        </w:rPr>
        <w:t xml:space="preserve"> </w:t>
      </w:r>
      <w:proofErr w:type="spellStart"/>
      <w:r w:rsidRPr="007263C1">
        <w:rPr>
          <w:i/>
          <w:iCs/>
          <w:lang w:val="fr-CA"/>
        </w:rPr>
        <w:t>Matter</w:t>
      </w:r>
      <w:proofErr w:type="spellEnd"/>
      <w:r w:rsidRPr="007263C1">
        <w:rPr>
          <w:lang w:val="fr-CA"/>
        </w:rPr>
        <w:t xml:space="preserve"> qui a vu le jour au sud de la frontière. De façon générale, la plupart avaient l’impression que le racisme était présent au Canada, mais presque tous s’entendaient pour dire que le problème concernait principalement le traitement des peuples autochtones au pays. Qui plus est, bon nombre de participants étaient d’avis que les relations interraciales étaient beaucoup moins problématiques au Canada qu’aux États-Unis.</w:t>
      </w:r>
    </w:p>
    <w:p w14:paraId="4C07C009" w14:textId="77777777" w:rsidR="00974C73" w:rsidRPr="007263C1" w:rsidRDefault="00974C73" w:rsidP="00974C73">
      <w:pPr>
        <w:rPr>
          <w:lang w:val="fr-CA"/>
        </w:rPr>
      </w:pPr>
      <w:r w:rsidRPr="007263C1">
        <w:rPr>
          <w:lang w:val="fr-CA"/>
        </w:rPr>
        <w:t xml:space="preserve">La mesure dans laquelle le gouvernement du Canada devrait en faire plus pour s’attaquer au problème du racisme au pays a fait l’objet de vives discussions dans chaque groupe. De nombreux participants ont fait valoir que le gouvernement avait un rôle à jouer pour sensibiliser la population au problème et pour éduquer les Canadiens afin de contrer le racisme systémique qui, aux dires de certains, est clairement présent au sein des forces de l’ordre et enchâssé dans la </w:t>
      </w:r>
      <w:r w:rsidRPr="007263C1">
        <w:rPr>
          <w:i/>
          <w:iCs/>
          <w:lang w:val="fr-CA"/>
        </w:rPr>
        <w:t>Loi sur les Indiens</w:t>
      </w:r>
      <w:r w:rsidRPr="007263C1">
        <w:rPr>
          <w:lang w:val="fr-CA"/>
        </w:rPr>
        <w:t xml:space="preserve">. Lorsqu’on leur a présenté des mesures susceptibles d’améliorer la situation des minorités visibles au Canada, les participants ont concentré leur attention sur le port de caméras corporelles par les policiers, le financement des programmes d’aide juridique pour les populations vulnérables et une formation supplémentaire aux personnes œuvrant dans le système judiciaire. Les participants ont ajouté que ces mesures permettraient d’améliorer l’imputabilité et de s’attaquer aux causes profondes du racisme que sont la pauvreté souvent présente chez les groupes marginalisés et les préjugés qui règnent au sein du système judiciaire. </w:t>
      </w:r>
    </w:p>
    <w:p w14:paraId="605F00F8" w14:textId="77777777" w:rsidR="00974C73" w:rsidRPr="007263C1" w:rsidRDefault="00974C73" w:rsidP="00974C73">
      <w:pPr>
        <w:rPr>
          <w:lang w:val="fr-CA"/>
        </w:rPr>
      </w:pPr>
      <w:r w:rsidRPr="007263C1">
        <w:rPr>
          <w:lang w:val="fr-CA"/>
        </w:rPr>
        <w:t xml:space="preserve">Une longue discussion s’en est suivie sur la question des peines minimales obligatoires. Les participants se sont particulièrement interrogés à savoir s’il ne fallait pas les abroger pour réduire les injustices au sein du système canadien de justice pénale, surtout que ces sentences ont pour effet d’augmenter le nombre d’incarcérations, à grands frais pour les contribuables, et portent atteinte aux minorités visibles. Cette discussion s’est avérée difficile pour de nombreux participants qui n’ont pas tout à fait compris de quelle façon et sur quelles bases (p. ex., pour quels types de crimes) les peines minimales obligatoires s’appliquaient. Par conséquent, les opinions étaient partagées à savoir si leur abolition rendrait le système plus ou moins équitable. Finalement, de l’avis des participants, le coût ne devrait pas être un facteur déterminant. Bon nombre d’entre eux sont revenus à leurs positions initiales quant aux causes profondes du racisme au Canada, notamment la nécessité de s’attaquer aux enjeux que sont la pauvreté et l’éducation. </w:t>
      </w:r>
    </w:p>
    <w:p w14:paraId="37B512EB" w14:textId="77777777" w:rsidR="00974C73" w:rsidRPr="007263C1" w:rsidRDefault="00974C73" w:rsidP="00974C73">
      <w:pPr>
        <w:rPr>
          <w:lang w:val="fr-CA"/>
        </w:rPr>
      </w:pPr>
      <w:r w:rsidRPr="007263C1">
        <w:rPr>
          <w:lang w:val="fr-CA"/>
        </w:rPr>
        <w:lastRenderedPageBreak/>
        <w:t xml:space="preserve">Au terme de la discussion, la plupart des participants ont indiqué que la modification des lois sur les peines minimales obligatoires ne devrait pas être une priorité pour l’instant, compte tenu de la situation engendrée par la COVID-19 et d’autres préoccupations comme la santé et l’éducation, jugées plus importantes. Ils ont toutefois mentionné qu’ils seraient plus favorables à une telle modification s’il était clairement prouvé que le maintien des peines minimales avait des conséquences négatives sur les Autochtones, les minorités visibles et les groupes marginalisés. Plusieurs se sont dits en faveur d’un système qui mettrait l’emphase sur la désintoxication et la réintégration d’anciens détenus dans la société. </w:t>
      </w:r>
    </w:p>
    <w:p w14:paraId="38A39FA2" w14:textId="77777777" w:rsidR="00974C73" w:rsidRPr="007263C1" w:rsidRDefault="00974C73" w:rsidP="00974C73">
      <w:pPr>
        <w:pStyle w:val="Heading2"/>
        <w:rPr>
          <w:szCs w:val="20"/>
          <w:lang w:val="fr-CA"/>
        </w:rPr>
      </w:pPr>
      <w:bookmarkStart w:id="151" w:name="lt_pId366"/>
      <w:bookmarkStart w:id="152" w:name="_Toc49528413"/>
      <w:bookmarkEnd w:id="147"/>
      <w:r w:rsidRPr="007263C1">
        <w:rPr>
          <w:lang w:val="fr-CA"/>
        </w:rPr>
        <w:t xml:space="preserve">Autres actualités et questions concernant le gouvernement du Canada </w:t>
      </w:r>
      <w:r w:rsidRPr="007263C1">
        <w:rPr>
          <w:szCs w:val="20"/>
          <w:lang w:val="fr-CA"/>
        </w:rPr>
        <w:t>(parents de la RGT, bénéficiaires de la PCU de l’</w:t>
      </w:r>
      <w:r w:rsidRPr="007263C1">
        <w:rPr>
          <w:bCs/>
          <w:szCs w:val="20"/>
          <w:lang w:val="fr-CA"/>
        </w:rPr>
        <w:t>Alberta, aînés de Montréal, grandes villes de l’Ontario, bénéficiaires de la PCU du Québec, parents de Vancouver, grandes villes du Canada atlantique, Québec rural)</w:t>
      </w:r>
      <w:bookmarkEnd w:id="151"/>
      <w:bookmarkEnd w:id="152"/>
    </w:p>
    <w:p w14:paraId="782FD0A8" w14:textId="77777777" w:rsidR="00974C73" w:rsidRPr="007263C1" w:rsidRDefault="00974C73" w:rsidP="00974C73">
      <w:pPr>
        <w:rPr>
          <w:lang w:val="fr-CA"/>
        </w:rPr>
      </w:pPr>
      <w:bookmarkStart w:id="153" w:name="lt_pId368"/>
      <w:r w:rsidRPr="007263C1">
        <w:rPr>
          <w:lang w:val="fr-CA"/>
        </w:rPr>
        <w:t>Questionnés au sujet d’autres actualités que la COVID-19, la plupart des participants demeuraient visiblement préoccupés par les enjeux liés à la COVID-19, même si l’information répétitive avait pour effet de diminuer leur intérêt. Quelques enjeux ont été soulevés spontanément, dont le conflit qui perdure entre le Canada et la Chine concernant la détention d’une dirigeante d’entreprise chinoise et les problèmes engendrés par le comportement de la GRC, en particulier à l’endroit des Autochtones.</w:t>
      </w:r>
      <w:bookmarkEnd w:id="153"/>
    </w:p>
    <w:p w14:paraId="5D64AFD2" w14:textId="77777777" w:rsidR="00974C73" w:rsidRPr="007263C1" w:rsidRDefault="00974C73" w:rsidP="00974C73">
      <w:pPr>
        <w:pStyle w:val="Heading2"/>
        <w:rPr>
          <w:lang w:val="fr-CA"/>
        </w:rPr>
      </w:pPr>
      <w:bookmarkStart w:id="154" w:name="_Toc49528414"/>
      <w:r w:rsidRPr="007263C1">
        <w:rPr>
          <w:lang w:val="fr-CA"/>
        </w:rPr>
        <w:t xml:space="preserve">Enjeux locaux (petites villes du nord des </w:t>
      </w:r>
      <w:r w:rsidRPr="007263C1">
        <w:rPr>
          <w:noProof/>
          <w:lang w:val="fr-CA"/>
        </w:rPr>
        <w:t>Prairies</w:t>
      </w:r>
      <w:r w:rsidRPr="007263C1">
        <w:rPr>
          <w:lang w:val="fr-CA"/>
        </w:rPr>
        <w:t>)</w:t>
      </w:r>
      <w:bookmarkEnd w:id="154"/>
    </w:p>
    <w:p w14:paraId="7AB9EF9D" w14:textId="77777777" w:rsidR="00974C73" w:rsidRPr="00623049" w:rsidRDefault="00974C73" w:rsidP="00974C73">
      <w:pPr>
        <w:rPr>
          <w:lang w:val="fr-CA"/>
        </w:rPr>
      </w:pPr>
      <w:r w:rsidRPr="007263C1">
        <w:rPr>
          <w:rFonts w:ascii="Segoe UI Historic" w:hAnsi="Segoe UI Historic" w:cs="Segoe UI Historic"/>
          <w:szCs w:val="20"/>
          <w:lang w:val="fr-CA"/>
        </w:rPr>
        <w:t>Dans les groupes de résidents de petites villes du nord des Prairies, les participants ont vu peu d’indications d’une présence active du gouvernement du Canada dans leur collectivité. Certains ont cependant noté le financement gouvernemental pour l’infrastructure, les espaces verts et les grands événements. Lorsqu’on leur a demandé ce que le gouvernement pourrait faire pour leurs collectivités, ils ont mentionné l’infrastructure, le problème d’eau potable sur les réserves, les changements au système de paiements de péréquation, les enjeux relatifs au rachat des armes à feu, les inégalités de revenus et l’itinérance</w:t>
      </w:r>
      <w:r w:rsidRPr="00BD26CB">
        <w:rPr>
          <w:lang w:val="fr-CA"/>
        </w:rPr>
        <w:t>.</w:t>
      </w:r>
      <w:bookmarkStart w:id="155" w:name="_GoBack"/>
      <w:bookmarkEnd w:id="155"/>
    </w:p>
    <w:p w14:paraId="4A2A628E" w14:textId="77777777" w:rsidR="00974C73" w:rsidRPr="00623049" w:rsidRDefault="00974C73" w:rsidP="00974C73">
      <w:pPr>
        <w:rPr>
          <w:i/>
          <w:lang w:val="fr-CA"/>
        </w:rPr>
      </w:pPr>
    </w:p>
    <w:p w14:paraId="5713B9A0" w14:textId="77777777" w:rsidR="00974C73" w:rsidRPr="00E50613" w:rsidRDefault="00974C73" w:rsidP="00974C73">
      <w:pPr>
        <w:pBdr>
          <w:top w:val="single" w:sz="4" w:space="1" w:color="auto"/>
          <w:bottom w:val="single" w:sz="4" w:space="1" w:color="auto"/>
        </w:pBdr>
        <w:spacing w:before="120" w:after="120" w:line="264" w:lineRule="auto"/>
        <w:rPr>
          <w:rFonts w:cs="Segoe UI"/>
          <w:b/>
          <w:kern w:val="18"/>
          <w:sz w:val="18"/>
          <w:szCs w:val="18"/>
          <w:lang w:val="fr-CA"/>
        </w:rPr>
      </w:pPr>
      <w:bookmarkStart w:id="156" w:name="lt_pId426"/>
      <w:r w:rsidRPr="00E50613">
        <w:rPr>
          <w:rFonts w:cs="Segoe UI"/>
          <w:b/>
          <w:kern w:val="18"/>
          <w:sz w:val="18"/>
          <w:szCs w:val="18"/>
          <w:lang w:val="fr-CA"/>
        </w:rPr>
        <w:t>COMPLÉMENT D’INFORMATION</w:t>
      </w:r>
      <w:bookmarkEnd w:id="156"/>
    </w:p>
    <w:p w14:paraId="10B582CD" w14:textId="628A661C" w:rsidR="004A30FF" w:rsidRPr="00974C73" w:rsidRDefault="00974C73" w:rsidP="00974C73">
      <w:pPr>
        <w:pBdr>
          <w:top w:val="single" w:sz="4" w:space="1" w:color="auto"/>
          <w:bottom w:val="single" w:sz="4" w:space="1" w:color="auto"/>
        </w:pBdr>
        <w:spacing w:before="120" w:after="120" w:line="264" w:lineRule="auto"/>
        <w:rPr>
          <w:noProof/>
          <w:sz w:val="18"/>
          <w:szCs w:val="18"/>
          <w:lang w:val="fr-CA"/>
        </w:rPr>
      </w:pPr>
      <w:bookmarkStart w:id="157" w:name="lt_pId427"/>
      <w:r w:rsidRPr="00E50613">
        <w:rPr>
          <w:noProof/>
          <w:sz w:val="18"/>
          <w:szCs w:val="18"/>
          <w:lang w:val="fr-CA"/>
        </w:rPr>
        <w:t>The Strategic Counsel</w:t>
      </w:r>
      <w:bookmarkEnd w:id="157"/>
      <w:r w:rsidRPr="00E50613">
        <w:rPr>
          <w:noProof/>
          <w:sz w:val="18"/>
          <w:szCs w:val="18"/>
          <w:lang w:val="fr-CA"/>
        </w:rPr>
        <w:br/>
      </w:r>
      <w:bookmarkStart w:id="158" w:name="lt_pId428"/>
      <w:r w:rsidRPr="00E50613">
        <w:rPr>
          <w:noProof/>
          <w:sz w:val="18"/>
          <w:szCs w:val="18"/>
          <w:lang w:val="fr-CA"/>
        </w:rPr>
        <w:t>Numéro de contrat : 35035-182346/001/CY</w:t>
      </w:r>
      <w:bookmarkEnd w:id="158"/>
      <w:r w:rsidRPr="00E50613">
        <w:rPr>
          <w:noProof/>
          <w:sz w:val="18"/>
          <w:szCs w:val="18"/>
          <w:lang w:val="fr-CA"/>
        </w:rPr>
        <w:br/>
      </w:r>
      <w:bookmarkStart w:id="159" w:name="lt_pId429"/>
      <w:r w:rsidRPr="00E50613">
        <w:rPr>
          <w:noProof/>
          <w:sz w:val="18"/>
          <w:szCs w:val="18"/>
          <w:lang w:val="fr-CA"/>
        </w:rPr>
        <w:t>Date d’octroi du contrat : le 27 juin 2019</w:t>
      </w:r>
      <w:bookmarkEnd w:id="159"/>
      <w:r w:rsidRPr="00E50613">
        <w:rPr>
          <w:noProof/>
          <w:sz w:val="18"/>
          <w:szCs w:val="18"/>
          <w:lang w:val="fr-CA"/>
        </w:rPr>
        <w:br/>
      </w:r>
      <w:bookmarkStart w:id="160" w:name="lt_pId430"/>
      <w:r w:rsidRPr="00E50613">
        <w:rPr>
          <w:noProof/>
          <w:sz w:val="18"/>
          <w:szCs w:val="18"/>
          <w:lang w:val="fr-CA"/>
        </w:rPr>
        <w:t>Valeur du contrat :</w:t>
      </w:r>
      <w:r w:rsidRPr="00E50613">
        <w:rPr>
          <w:sz w:val="18"/>
          <w:szCs w:val="18"/>
          <w:lang w:val="fr-CA"/>
        </w:rPr>
        <w:t xml:space="preserve"> </w:t>
      </w:r>
      <w:r w:rsidRPr="00E50613">
        <w:rPr>
          <w:noProof/>
          <w:sz w:val="18"/>
          <w:szCs w:val="18"/>
          <w:lang w:val="fr-CA"/>
        </w:rPr>
        <w:t>808 684,50</w:t>
      </w:r>
      <w:bookmarkEnd w:id="160"/>
      <w:r w:rsidRPr="00E50613">
        <w:rPr>
          <w:noProof/>
          <w:sz w:val="18"/>
          <w:szCs w:val="18"/>
          <w:lang w:val="fr-CA"/>
        </w:rPr>
        <w:t> $</w:t>
      </w:r>
      <w:bookmarkEnd w:id="0"/>
    </w:p>
    <w:sectPr w:rsidR="004A30FF" w:rsidRPr="00974C73" w:rsidSect="002B5D50">
      <w:headerReference w:type="default" r:id="rId11"/>
      <w:footerReference w:type="default" r:id="rId12"/>
      <w:pgSz w:w="12240" w:h="15840"/>
      <w:pgMar w:top="2160" w:right="1440" w:bottom="2160" w:left="1728" w:header="706" w:footer="706" w:gutter="0"/>
      <w:pgNumType w:start="0"/>
      <w:cols w:space="708"/>
      <w:titlePg/>
      <w:rtlGutter/>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7018E8" w16cex:dateUtc="2020-05-21T01:00:00Z"/>
  <w16cex:commentExtensible w16cex:durableId="226FE9CF" w16cex:dateUtc="2020-05-20T21:39:00Z"/>
  <w16cex:commentExtensible w16cex:durableId="226FEA65" w16cex:dateUtc="2020-05-20T21:41:00Z"/>
  <w16cex:commentExtensible w16cex:durableId="2270240D" w16cex:dateUtc="2020-05-21T01:47:00Z"/>
  <w16cex:commentExtensible w16cex:durableId="22702480" w16cex:dateUtc="2020-05-21T01: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3FB4DA4" w16cid:durableId="226FAAED"/>
  <w16cid:commentId w16cid:paraId="5AB513CD" w16cid:durableId="227018E8"/>
  <w16cid:commentId w16cid:paraId="6A2ECA57" w16cid:durableId="226FE9CF"/>
  <w16cid:commentId w16cid:paraId="5DAA6A1E" w16cid:durableId="226FEA65"/>
  <w16cid:commentId w16cid:paraId="299D79F1" w16cid:durableId="2270240D"/>
  <w16cid:commentId w16cid:paraId="0C5AB349" w16cid:durableId="2270248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623E4F" w14:textId="77777777" w:rsidR="004D02F1" w:rsidRDefault="004D02F1" w:rsidP="007C351A">
      <w:pPr>
        <w:spacing w:after="0"/>
      </w:pPr>
      <w:r>
        <w:separator/>
      </w:r>
    </w:p>
  </w:endnote>
  <w:endnote w:type="continuationSeparator" w:id="0">
    <w:p w14:paraId="4F128DF5" w14:textId="77777777" w:rsidR="004D02F1" w:rsidRDefault="004D02F1" w:rsidP="007C351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Historic">
    <w:panose1 w:val="020B0502040204020203"/>
    <w:charset w:val="00"/>
    <w:family w:val="swiss"/>
    <w:pitch w:val="variable"/>
    <w:sig w:usb0="800001EF" w:usb1="02000002" w:usb2="0060C08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0B384D" w14:textId="0C7C7980" w:rsidR="007015EC" w:rsidRDefault="007015EC" w:rsidP="00B71F41">
    <w:pPr>
      <w:tabs>
        <w:tab w:val="right" w:pos="8910"/>
      </w:tabs>
    </w:pPr>
    <w:r>
      <w:tab/>
    </w:r>
    <w:r>
      <w:fldChar w:fldCharType="begin"/>
    </w:r>
    <w:r>
      <w:instrText xml:space="preserve"> PAGE   \* MERGEFORMAT </w:instrText>
    </w:r>
    <w:r>
      <w:fldChar w:fldCharType="separate"/>
    </w:r>
    <w:r w:rsidR="009F7E81">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19FE1C" w14:textId="77777777" w:rsidR="004D02F1" w:rsidRDefault="004D02F1" w:rsidP="007C351A">
      <w:pPr>
        <w:spacing w:after="0"/>
      </w:pPr>
      <w:r>
        <w:separator/>
      </w:r>
    </w:p>
  </w:footnote>
  <w:footnote w:type="continuationSeparator" w:id="0">
    <w:p w14:paraId="036B577D" w14:textId="77777777" w:rsidR="004D02F1" w:rsidRDefault="004D02F1" w:rsidP="007C351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D50923" w14:textId="77777777" w:rsidR="007015EC" w:rsidRDefault="007015EC">
    <w:r>
      <w:rPr>
        <w:noProof/>
        <w:lang w:eastAsia="en-CA"/>
      </w:rPr>
      <w:drawing>
        <wp:anchor distT="0" distB="0" distL="114300" distR="114300" simplePos="0" relativeHeight="251656704" behindDoc="0" locked="0" layoutInCell="1" allowOverlap="1" wp14:anchorId="3B15C0E6" wp14:editId="7018130F">
          <wp:simplePos x="0" y="0"/>
          <wp:positionH relativeFrom="margin">
            <wp:posOffset>-540385</wp:posOffset>
          </wp:positionH>
          <wp:positionV relativeFrom="paragraph">
            <wp:posOffset>-6985</wp:posOffset>
          </wp:positionV>
          <wp:extent cx="2155825" cy="866140"/>
          <wp:effectExtent l="0" t="0" r="0" b="0"/>
          <wp:wrapNone/>
          <wp:docPr id="7" name="Picture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5825" cy="86614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374FD"/>
    <w:multiLevelType w:val="hybridMultilevel"/>
    <w:tmpl w:val="D9AC3CEC"/>
    <w:lvl w:ilvl="0" w:tplc="04090001">
      <w:start w:val="1"/>
      <w:numFmt w:val="bullet"/>
      <w:lvlText w:val=""/>
      <w:lvlJc w:val="left"/>
      <w:pPr>
        <w:ind w:left="832" w:hanging="360"/>
      </w:pPr>
      <w:rPr>
        <w:rFonts w:ascii="Symbol" w:hAnsi="Symbol" w:hint="default"/>
      </w:rPr>
    </w:lvl>
    <w:lvl w:ilvl="1" w:tplc="04090003" w:tentative="1">
      <w:start w:val="1"/>
      <w:numFmt w:val="bullet"/>
      <w:lvlText w:val="o"/>
      <w:lvlJc w:val="left"/>
      <w:pPr>
        <w:ind w:left="1552" w:hanging="360"/>
      </w:pPr>
      <w:rPr>
        <w:rFonts w:ascii="Courier New" w:hAnsi="Courier New" w:cs="Courier New" w:hint="default"/>
      </w:rPr>
    </w:lvl>
    <w:lvl w:ilvl="2" w:tplc="04090005" w:tentative="1">
      <w:start w:val="1"/>
      <w:numFmt w:val="bullet"/>
      <w:lvlText w:val=""/>
      <w:lvlJc w:val="left"/>
      <w:pPr>
        <w:ind w:left="2272" w:hanging="360"/>
      </w:pPr>
      <w:rPr>
        <w:rFonts w:ascii="Wingdings" w:hAnsi="Wingdings" w:hint="default"/>
      </w:rPr>
    </w:lvl>
    <w:lvl w:ilvl="3" w:tplc="04090001" w:tentative="1">
      <w:start w:val="1"/>
      <w:numFmt w:val="bullet"/>
      <w:lvlText w:val=""/>
      <w:lvlJc w:val="left"/>
      <w:pPr>
        <w:ind w:left="2992" w:hanging="360"/>
      </w:pPr>
      <w:rPr>
        <w:rFonts w:ascii="Symbol" w:hAnsi="Symbol" w:hint="default"/>
      </w:rPr>
    </w:lvl>
    <w:lvl w:ilvl="4" w:tplc="04090003" w:tentative="1">
      <w:start w:val="1"/>
      <w:numFmt w:val="bullet"/>
      <w:lvlText w:val="o"/>
      <w:lvlJc w:val="left"/>
      <w:pPr>
        <w:ind w:left="3712" w:hanging="360"/>
      </w:pPr>
      <w:rPr>
        <w:rFonts w:ascii="Courier New" w:hAnsi="Courier New" w:cs="Courier New" w:hint="default"/>
      </w:rPr>
    </w:lvl>
    <w:lvl w:ilvl="5" w:tplc="04090005" w:tentative="1">
      <w:start w:val="1"/>
      <w:numFmt w:val="bullet"/>
      <w:lvlText w:val=""/>
      <w:lvlJc w:val="left"/>
      <w:pPr>
        <w:ind w:left="4432" w:hanging="360"/>
      </w:pPr>
      <w:rPr>
        <w:rFonts w:ascii="Wingdings" w:hAnsi="Wingdings" w:hint="default"/>
      </w:rPr>
    </w:lvl>
    <w:lvl w:ilvl="6" w:tplc="04090001" w:tentative="1">
      <w:start w:val="1"/>
      <w:numFmt w:val="bullet"/>
      <w:lvlText w:val=""/>
      <w:lvlJc w:val="left"/>
      <w:pPr>
        <w:ind w:left="5152" w:hanging="360"/>
      </w:pPr>
      <w:rPr>
        <w:rFonts w:ascii="Symbol" w:hAnsi="Symbol" w:hint="default"/>
      </w:rPr>
    </w:lvl>
    <w:lvl w:ilvl="7" w:tplc="04090003" w:tentative="1">
      <w:start w:val="1"/>
      <w:numFmt w:val="bullet"/>
      <w:lvlText w:val="o"/>
      <w:lvlJc w:val="left"/>
      <w:pPr>
        <w:ind w:left="5872" w:hanging="360"/>
      </w:pPr>
      <w:rPr>
        <w:rFonts w:ascii="Courier New" w:hAnsi="Courier New" w:cs="Courier New" w:hint="default"/>
      </w:rPr>
    </w:lvl>
    <w:lvl w:ilvl="8" w:tplc="04090005" w:tentative="1">
      <w:start w:val="1"/>
      <w:numFmt w:val="bullet"/>
      <w:lvlText w:val=""/>
      <w:lvlJc w:val="left"/>
      <w:pPr>
        <w:ind w:left="6592" w:hanging="360"/>
      </w:pPr>
      <w:rPr>
        <w:rFonts w:ascii="Wingdings" w:hAnsi="Wingdings" w:hint="default"/>
      </w:rPr>
    </w:lvl>
  </w:abstractNum>
  <w:abstractNum w:abstractNumId="1">
    <w:nsid w:val="01055CC6"/>
    <w:multiLevelType w:val="multilevel"/>
    <w:tmpl w:val="BDC0EABE"/>
    <w:name w:val="TSC"/>
    <w:lvl w:ilvl="0">
      <w:start w:val="1"/>
      <w:numFmt w:val="upperRoman"/>
      <w:lvlText w:val="%1"/>
      <w:lvlJc w:val="left"/>
      <w:pPr>
        <w:tabs>
          <w:tab w:val="num" w:pos="0"/>
        </w:tabs>
        <w:ind w:left="0" w:firstLine="0"/>
      </w:pPr>
      <w:rPr>
        <w:rFonts w:hint="default"/>
      </w:rPr>
    </w:lvl>
    <w:lvl w:ilvl="1">
      <w:start w:val="1"/>
      <w:numFmt w:val="upperLetter"/>
      <w:lvlText w:val="%2."/>
      <w:lvlJc w:val="left"/>
      <w:pPr>
        <w:tabs>
          <w:tab w:val="num" w:pos="360"/>
        </w:tabs>
        <w:ind w:left="360" w:hanging="360"/>
      </w:pPr>
      <w:rPr>
        <w:rFonts w:hint="default"/>
      </w:rPr>
    </w:lvl>
    <w:lvl w:ilvl="2">
      <w:start w:val="1"/>
      <w:numFmt w:val="decimal"/>
      <w:lvlText w:val="%3."/>
      <w:lvlJc w:val="left"/>
      <w:pPr>
        <w:tabs>
          <w:tab w:val="num" w:pos="360"/>
        </w:tabs>
        <w:ind w:left="360" w:hanging="360"/>
      </w:pPr>
      <w:rPr>
        <w:rFonts w:hint="default"/>
      </w:rPr>
    </w:lvl>
    <w:lvl w:ilvl="3">
      <w:start w:val="1"/>
      <w:numFmt w:val="none"/>
      <w:suff w:val="nothing"/>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nsid w:val="242C5461"/>
    <w:multiLevelType w:val="hybridMultilevel"/>
    <w:tmpl w:val="BDD882F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3CE56A21"/>
    <w:multiLevelType w:val="hybridMultilevel"/>
    <w:tmpl w:val="7DFA5A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4A6D745C"/>
    <w:multiLevelType w:val="hybridMultilevel"/>
    <w:tmpl w:val="618224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4EF85095"/>
    <w:multiLevelType w:val="hybridMultilevel"/>
    <w:tmpl w:val="833E551A"/>
    <w:lvl w:ilvl="0" w:tplc="3558FBAE">
      <w:start w:val="1"/>
      <w:numFmt w:val="bullet"/>
      <w:pStyle w:val="ListParagraph"/>
      <w:lvlText w:val=""/>
      <w:lvlJc w:val="left"/>
      <w:pPr>
        <w:ind w:left="360" w:hanging="360"/>
      </w:pPr>
      <w:rPr>
        <w:rFonts w:ascii="Symbol" w:hAnsi="Symbol" w:hint="default"/>
        <w:sz w:val="24"/>
      </w:rPr>
    </w:lvl>
    <w:lvl w:ilvl="1" w:tplc="10090003">
      <w:start w:val="1"/>
      <w:numFmt w:val="bullet"/>
      <w:lvlText w:val="o"/>
      <w:lvlJc w:val="left"/>
      <w:pPr>
        <w:ind w:left="1080" w:hanging="360"/>
      </w:pPr>
      <w:rPr>
        <w:rFonts w:ascii="Courier New" w:hAnsi="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nsid w:val="6AEB1264"/>
    <w:multiLevelType w:val="hybridMultilevel"/>
    <w:tmpl w:val="1A8A9038"/>
    <w:lvl w:ilvl="0" w:tplc="18B4F6D0">
      <w:start w:val="1"/>
      <w:numFmt w:val="decimal"/>
      <w:pStyle w:val="Question-AutoNumber"/>
      <w:lvlText w:val="%1."/>
      <w:lvlJc w:val="left"/>
      <w:pPr>
        <w:ind w:left="1440" w:hanging="360"/>
      </w:pPr>
      <w:rPr>
        <w:rFonts w:cs="Times New Roman"/>
      </w:rPr>
    </w:lvl>
    <w:lvl w:ilvl="1" w:tplc="10090019" w:tentative="1">
      <w:start w:val="1"/>
      <w:numFmt w:val="lowerLetter"/>
      <w:lvlText w:val="%2."/>
      <w:lvlJc w:val="left"/>
      <w:pPr>
        <w:ind w:left="2160" w:hanging="360"/>
      </w:pPr>
      <w:rPr>
        <w:rFonts w:cs="Times New Roman"/>
      </w:rPr>
    </w:lvl>
    <w:lvl w:ilvl="2" w:tplc="1009001B" w:tentative="1">
      <w:start w:val="1"/>
      <w:numFmt w:val="lowerRoman"/>
      <w:lvlText w:val="%3."/>
      <w:lvlJc w:val="right"/>
      <w:pPr>
        <w:ind w:left="2880" w:hanging="180"/>
      </w:pPr>
      <w:rPr>
        <w:rFonts w:cs="Times New Roman"/>
      </w:rPr>
    </w:lvl>
    <w:lvl w:ilvl="3" w:tplc="1009000F" w:tentative="1">
      <w:start w:val="1"/>
      <w:numFmt w:val="decimal"/>
      <w:lvlText w:val="%4."/>
      <w:lvlJc w:val="left"/>
      <w:pPr>
        <w:ind w:left="3600" w:hanging="360"/>
      </w:pPr>
      <w:rPr>
        <w:rFonts w:cs="Times New Roman"/>
      </w:rPr>
    </w:lvl>
    <w:lvl w:ilvl="4" w:tplc="10090019" w:tentative="1">
      <w:start w:val="1"/>
      <w:numFmt w:val="lowerLetter"/>
      <w:lvlText w:val="%5."/>
      <w:lvlJc w:val="left"/>
      <w:pPr>
        <w:ind w:left="4320" w:hanging="360"/>
      </w:pPr>
      <w:rPr>
        <w:rFonts w:cs="Times New Roman"/>
      </w:rPr>
    </w:lvl>
    <w:lvl w:ilvl="5" w:tplc="1009001B" w:tentative="1">
      <w:start w:val="1"/>
      <w:numFmt w:val="lowerRoman"/>
      <w:lvlText w:val="%6."/>
      <w:lvlJc w:val="right"/>
      <w:pPr>
        <w:ind w:left="5040" w:hanging="180"/>
      </w:pPr>
      <w:rPr>
        <w:rFonts w:cs="Times New Roman"/>
      </w:rPr>
    </w:lvl>
    <w:lvl w:ilvl="6" w:tplc="1009000F" w:tentative="1">
      <w:start w:val="1"/>
      <w:numFmt w:val="decimal"/>
      <w:lvlText w:val="%7."/>
      <w:lvlJc w:val="left"/>
      <w:pPr>
        <w:ind w:left="5760" w:hanging="360"/>
      </w:pPr>
      <w:rPr>
        <w:rFonts w:cs="Times New Roman"/>
      </w:rPr>
    </w:lvl>
    <w:lvl w:ilvl="7" w:tplc="10090019" w:tentative="1">
      <w:start w:val="1"/>
      <w:numFmt w:val="lowerLetter"/>
      <w:lvlText w:val="%8."/>
      <w:lvlJc w:val="left"/>
      <w:pPr>
        <w:ind w:left="6480" w:hanging="360"/>
      </w:pPr>
      <w:rPr>
        <w:rFonts w:cs="Times New Roman"/>
      </w:rPr>
    </w:lvl>
    <w:lvl w:ilvl="8" w:tplc="1009001B" w:tentative="1">
      <w:start w:val="1"/>
      <w:numFmt w:val="lowerRoman"/>
      <w:lvlText w:val="%9."/>
      <w:lvlJc w:val="right"/>
      <w:pPr>
        <w:ind w:left="7200" w:hanging="180"/>
      </w:pPr>
      <w:rPr>
        <w:rFonts w:cs="Times New Roman"/>
      </w:rPr>
    </w:lvl>
  </w:abstractNum>
  <w:num w:numId="1">
    <w:abstractNumId w:val="6"/>
  </w:num>
  <w:num w:numId="2">
    <w:abstractNumId w:val="5"/>
  </w:num>
  <w:num w:numId="3">
    <w:abstractNumId w:val="2"/>
  </w:num>
  <w:num w:numId="4">
    <w:abstractNumId w:val="3"/>
  </w:num>
  <w:num w:numId="5">
    <w:abstractNumId w:val="4"/>
  </w:num>
  <w:num w:numId="6">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fr-CA" w:vendorID="64" w:dllVersion="6" w:nlCheck="1" w:checkStyle="1"/>
  <w:activeWritingStyle w:appName="MSWord" w:lang="en-CA" w:vendorID="64" w:dllVersion="6" w:nlCheck="1" w:checkStyle="1"/>
  <w:activeWritingStyle w:appName="MSWord" w:lang="en-US" w:vendorID="64" w:dllVersion="6" w:nlCheck="1" w:checkStyle="1"/>
  <w:activeWritingStyle w:appName="MSWord" w:lang="en-GB" w:vendorID="64" w:dllVersion="6" w:nlCheck="1" w:checkStyle="1"/>
  <w:activeWritingStyle w:appName="MSWord" w:lang="en-CA" w:vendorID="64" w:dllVersion="4096" w:nlCheck="1" w:checkStyle="0"/>
  <w:activeWritingStyle w:appName="MSWord" w:lang="fr-CA"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en-CA" w:vendorID="64" w:dllVersion="131078" w:nlCheck="1" w:checkStyle="1"/>
  <w:activeWritingStyle w:appName="MSWord" w:lang="en-US" w:vendorID="64" w:dllVersion="131078" w:nlCheck="1" w:checkStyle="1"/>
  <w:activeWritingStyle w:appName="MSWord" w:lang="fr-CA" w:vendorID="64" w:dllVersion="131078" w:nlCheck="1" w:checkStyle="0"/>
  <w:activeWritingStyle w:appName="MSWord" w:lang="en-GB" w:vendorID="64" w:dllVersion="131078" w:nlCheck="1" w:checkStyle="1"/>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51A"/>
    <w:rsid w:val="000002B4"/>
    <w:rsid w:val="00000DCC"/>
    <w:rsid w:val="0000125F"/>
    <w:rsid w:val="000018E3"/>
    <w:rsid w:val="00001C10"/>
    <w:rsid w:val="0000291C"/>
    <w:rsid w:val="00003C51"/>
    <w:rsid w:val="00004C2E"/>
    <w:rsid w:val="0000597D"/>
    <w:rsid w:val="00005D48"/>
    <w:rsid w:val="00006A40"/>
    <w:rsid w:val="00006C00"/>
    <w:rsid w:val="00007428"/>
    <w:rsid w:val="00007DA8"/>
    <w:rsid w:val="00010E65"/>
    <w:rsid w:val="00010EE9"/>
    <w:rsid w:val="00010F53"/>
    <w:rsid w:val="000123A8"/>
    <w:rsid w:val="0001345E"/>
    <w:rsid w:val="0001459A"/>
    <w:rsid w:val="00015CC2"/>
    <w:rsid w:val="00015E5A"/>
    <w:rsid w:val="000172BB"/>
    <w:rsid w:val="00017819"/>
    <w:rsid w:val="00020B39"/>
    <w:rsid w:val="00021953"/>
    <w:rsid w:val="0002209E"/>
    <w:rsid w:val="00023211"/>
    <w:rsid w:val="00023790"/>
    <w:rsid w:val="000241BF"/>
    <w:rsid w:val="000251CC"/>
    <w:rsid w:val="00025E34"/>
    <w:rsid w:val="00025EA3"/>
    <w:rsid w:val="00026012"/>
    <w:rsid w:val="000260D9"/>
    <w:rsid w:val="00026E3E"/>
    <w:rsid w:val="00026FE6"/>
    <w:rsid w:val="00027B6C"/>
    <w:rsid w:val="00027B85"/>
    <w:rsid w:val="00027DC1"/>
    <w:rsid w:val="000309F7"/>
    <w:rsid w:val="00030C65"/>
    <w:rsid w:val="00030CA8"/>
    <w:rsid w:val="00030D92"/>
    <w:rsid w:val="0003114F"/>
    <w:rsid w:val="000318B3"/>
    <w:rsid w:val="000324FF"/>
    <w:rsid w:val="00033015"/>
    <w:rsid w:val="00033706"/>
    <w:rsid w:val="0003486A"/>
    <w:rsid w:val="000359B8"/>
    <w:rsid w:val="00035E82"/>
    <w:rsid w:val="00037752"/>
    <w:rsid w:val="0004105B"/>
    <w:rsid w:val="000412E5"/>
    <w:rsid w:val="0004190E"/>
    <w:rsid w:val="0004265E"/>
    <w:rsid w:val="00043882"/>
    <w:rsid w:val="00044690"/>
    <w:rsid w:val="00044AA3"/>
    <w:rsid w:val="00044D1C"/>
    <w:rsid w:val="000467D8"/>
    <w:rsid w:val="000470C3"/>
    <w:rsid w:val="000474D7"/>
    <w:rsid w:val="00047CB0"/>
    <w:rsid w:val="00050723"/>
    <w:rsid w:val="00051BEF"/>
    <w:rsid w:val="00051E5C"/>
    <w:rsid w:val="0005276A"/>
    <w:rsid w:val="00052CD7"/>
    <w:rsid w:val="00052F08"/>
    <w:rsid w:val="00052F67"/>
    <w:rsid w:val="00053CF2"/>
    <w:rsid w:val="0005422F"/>
    <w:rsid w:val="00054A9F"/>
    <w:rsid w:val="00054FAC"/>
    <w:rsid w:val="000551E1"/>
    <w:rsid w:val="00055E7A"/>
    <w:rsid w:val="00055FF2"/>
    <w:rsid w:val="00057052"/>
    <w:rsid w:val="000574CD"/>
    <w:rsid w:val="000605F6"/>
    <w:rsid w:val="00060BAB"/>
    <w:rsid w:val="00060C99"/>
    <w:rsid w:val="00060D2E"/>
    <w:rsid w:val="00061D63"/>
    <w:rsid w:val="000641D4"/>
    <w:rsid w:val="00065618"/>
    <w:rsid w:val="00065635"/>
    <w:rsid w:val="00065A53"/>
    <w:rsid w:val="000663C0"/>
    <w:rsid w:val="00067EE9"/>
    <w:rsid w:val="00070593"/>
    <w:rsid w:val="00072300"/>
    <w:rsid w:val="00072BF5"/>
    <w:rsid w:val="000734B3"/>
    <w:rsid w:val="00073989"/>
    <w:rsid w:val="00075612"/>
    <w:rsid w:val="0007588E"/>
    <w:rsid w:val="00076F37"/>
    <w:rsid w:val="00077B4F"/>
    <w:rsid w:val="00077F2C"/>
    <w:rsid w:val="00077F87"/>
    <w:rsid w:val="00082079"/>
    <w:rsid w:val="00082484"/>
    <w:rsid w:val="000828ED"/>
    <w:rsid w:val="00083CC0"/>
    <w:rsid w:val="00084C5F"/>
    <w:rsid w:val="00085F39"/>
    <w:rsid w:val="00086FCB"/>
    <w:rsid w:val="000915B2"/>
    <w:rsid w:val="00091BD1"/>
    <w:rsid w:val="00092506"/>
    <w:rsid w:val="00092CCD"/>
    <w:rsid w:val="00093429"/>
    <w:rsid w:val="000944F4"/>
    <w:rsid w:val="000A0805"/>
    <w:rsid w:val="000A132E"/>
    <w:rsid w:val="000A1E23"/>
    <w:rsid w:val="000A301F"/>
    <w:rsid w:val="000A51AB"/>
    <w:rsid w:val="000A59DE"/>
    <w:rsid w:val="000A5D4D"/>
    <w:rsid w:val="000A64CD"/>
    <w:rsid w:val="000A6C34"/>
    <w:rsid w:val="000A74A8"/>
    <w:rsid w:val="000B1628"/>
    <w:rsid w:val="000B1F0A"/>
    <w:rsid w:val="000B25B4"/>
    <w:rsid w:val="000B2837"/>
    <w:rsid w:val="000B2FCA"/>
    <w:rsid w:val="000B37DD"/>
    <w:rsid w:val="000B3CC6"/>
    <w:rsid w:val="000B3CCE"/>
    <w:rsid w:val="000B4E54"/>
    <w:rsid w:val="000C16A8"/>
    <w:rsid w:val="000C1DBE"/>
    <w:rsid w:val="000C25C6"/>
    <w:rsid w:val="000C3432"/>
    <w:rsid w:val="000C479E"/>
    <w:rsid w:val="000C530C"/>
    <w:rsid w:val="000C5B22"/>
    <w:rsid w:val="000C5C86"/>
    <w:rsid w:val="000C73A8"/>
    <w:rsid w:val="000D0344"/>
    <w:rsid w:val="000D0618"/>
    <w:rsid w:val="000D0E04"/>
    <w:rsid w:val="000D160D"/>
    <w:rsid w:val="000D1838"/>
    <w:rsid w:val="000D1DA3"/>
    <w:rsid w:val="000D1E2E"/>
    <w:rsid w:val="000D221D"/>
    <w:rsid w:val="000D255B"/>
    <w:rsid w:val="000D26E6"/>
    <w:rsid w:val="000D2737"/>
    <w:rsid w:val="000D3A64"/>
    <w:rsid w:val="000D51C8"/>
    <w:rsid w:val="000D660A"/>
    <w:rsid w:val="000D6F96"/>
    <w:rsid w:val="000D7AD6"/>
    <w:rsid w:val="000E0018"/>
    <w:rsid w:val="000E04E8"/>
    <w:rsid w:val="000E0874"/>
    <w:rsid w:val="000E0B3E"/>
    <w:rsid w:val="000E18A6"/>
    <w:rsid w:val="000E1E64"/>
    <w:rsid w:val="000E299A"/>
    <w:rsid w:val="000E7EC5"/>
    <w:rsid w:val="000F0F8B"/>
    <w:rsid w:val="000F15CC"/>
    <w:rsid w:val="000F2D94"/>
    <w:rsid w:val="000F38B3"/>
    <w:rsid w:val="000F3A8B"/>
    <w:rsid w:val="000F3E7A"/>
    <w:rsid w:val="000F434F"/>
    <w:rsid w:val="000F466B"/>
    <w:rsid w:val="000F4705"/>
    <w:rsid w:val="000F61A0"/>
    <w:rsid w:val="000F6A84"/>
    <w:rsid w:val="000F6F53"/>
    <w:rsid w:val="000F7D2A"/>
    <w:rsid w:val="000F7FD6"/>
    <w:rsid w:val="001004B9"/>
    <w:rsid w:val="00100704"/>
    <w:rsid w:val="00100774"/>
    <w:rsid w:val="00101A33"/>
    <w:rsid w:val="00101F9A"/>
    <w:rsid w:val="00102D81"/>
    <w:rsid w:val="001037C2"/>
    <w:rsid w:val="00104565"/>
    <w:rsid w:val="00104A94"/>
    <w:rsid w:val="00104B88"/>
    <w:rsid w:val="00104D0B"/>
    <w:rsid w:val="00105871"/>
    <w:rsid w:val="00106620"/>
    <w:rsid w:val="001066D8"/>
    <w:rsid w:val="0010783F"/>
    <w:rsid w:val="0011229B"/>
    <w:rsid w:val="001122DC"/>
    <w:rsid w:val="00112A3B"/>
    <w:rsid w:val="00112CCA"/>
    <w:rsid w:val="00113137"/>
    <w:rsid w:val="0011447B"/>
    <w:rsid w:val="001146EF"/>
    <w:rsid w:val="00114BF5"/>
    <w:rsid w:val="00114D0C"/>
    <w:rsid w:val="00115043"/>
    <w:rsid w:val="00115564"/>
    <w:rsid w:val="001160FF"/>
    <w:rsid w:val="00116E50"/>
    <w:rsid w:val="001203E8"/>
    <w:rsid w:val="00121E4A"/>
    <w:rsid w:val="0012220A"/>
    <w:rsid w:val="00122391"/>
    <w:rsid w:val="00122398"/>
    <w:rsid w:val="001230DE"/>
    <w:rsid w:val="001239E2"/>
    <w:rsid w:val="00123C30"/>
    <w:rsid w:val="00123D69"/>
    <w:rsid w:val="0012477E"/>
    <w:rsid w:val="00124B9D"/>
    <w:rsid w:val="00126AE6"/>
    <w:rsid w:val="00127360"/>
    <w:rsid w:val="00131C9D"/>
    <w:rsid w:val="001322EE"/>
    <w:rsid w:val="00132589"/>
    <w:rsid w:val="001326BC"/>
    <w:rsid w:val="001336D8"/>
    <w:rsid w:val="00133AB9"/>
    <w:rsid w:val="001343AD"/>
    <w:rsid w:val="00134AEF"/>
    <w:rsid w:val="00135B91"/>
    <w:rsid w:val="00136899"/>
    <w:rsid w:val="001373AD"/>
    <w:rsid w:val="00140B04"/>
    <w:rsid w:val="00140B3B"/>
    <w:rsid w:val="001417DE"/>
    <w:rsid w:val="00141E87"/>
    <w:rsid w:val="00142A46"/>
    <w:rsid w:val="00142C29"/>
    <w:rsid w:val="0014419B"/>
    <w:rsid w:val="001444D1"/>
    <w:rsid w:val="00144A58"/>
    <w:rsid w:val="00145C47"/>
    <w:rsid w:val="00146BDE"/>
    <w:rsid w:val="00146CFE"/>
    <w:rsid w:val="00147866"/>
    <w:rsid w:val="0014790B"/>
    <w:rsid w:val="001479B8"/>
    <w:rsid w:val="0015039B"/>
    <w:rsid w:val="00150F40"/>
    <w:rsid w:val="001518AE"/>
    <w:rsid w:val="00151D58"/>
    <w:rsid w:val="00152CE5"/>
    <w:rsid w:val="00153930"/>
    <w:rsid w:val="00155A11"/>
    <w:rsid w:val="00155F95"/>
    <w:rsid w:val="00157627"/>
    <w:rsid w:val="001619F4"/>
    <w:rsid w:val="00162526"/>
    <w:rsid w:val="00162E8F"/>
    <w:rsid w:val="0016365E"/>
    <w:rsid w:val="00163AC2"/>
    <w:rsid w:val="001643CC"/>
    <w:rsid w:val="0016535A"/>
    <w:rsid w:val="00165EAC"/>
    <w:rsid w:val="00166F57"/>
    <w:rsid w:val="00170613"/>
    <w:rsid w:val="001712EF"/>
    <w:rsid w:val="001715ED"/>
    <w:rsid w:val="00171AC6"/>
    <w:rsid w:val="00172845"/>
    <w:rsid w:val="0017371F"/>
    <w:rsid w:val="0017431F"/>
    <w:rsid w:val="001746E8"/>
    <w:rsid w:val="00174838"/>
    <w:rsid w:val="00174E51"/>
    <w:rsid w:val="00176502"/>
    <w:rsid w:val="00176595"/>
    <w:rsid w:val="00176DC0"/>
    <w:rsid w:val="001808AC"/>
    <w:rsid w:val="00180CB8"/>
    <w:rsid w:val="00180F85"/>
    <w:rsid w:val="00180FB8"/>
    <w:rsid w:val="001828D8"/>
    <w:rsid w:val="001828DE"/>
    <w:rsid w:val="00182907"/>
    <w:rsid w:val="00182964"/>
    <w:rsid w:val="0018316A"/>
    <w:rsid w:val="00183B2E"/>
    <w:rsid w:val="0018456A"/>
    <w:rsid w:val="00184D63"/>
    <w:rsid w:val="00185613"/>
    <w:rsid w:val="00185BDE"/>
    <w:rsid w:val="001860F3"/>
    <w:rsid w:val="0018743A"/>
    <w:rsid w:val="00190B01"/>
    <w:rsid w:val="00191A25"/>
    <w:rsid w:val="00191AF0"/>
    <w:rsid w:val="001929AA"/>
    <w:rsid w:val="001937B7"/>
    <w:rsid w:val="00193E53"/>
    <w:rsid w:val="00194D01"/>
    <w:rsid w:val="00195B75"/>
    <w:rsid w:val="00196955"/>
    <w:rsid w:val="00196990"/>
    <w:rsid w:val="001975A6"/>
    <w:rsid w:val="001976BD"/>
    <w:rsid w:val="001A0C13"/>
    <w:rsid w:val="001A182C"/>
    <w:rsid w:val="001A213A"/>
    <w:rsid w:val="001A5DB2"/>
    <w:rsid w:val="001A6326"/>
    <w:rsid w:val="001A79B6"/>
    <w:rsid w:val="001B098F"/>
    <w:rsid w:val="001B1CFC"/>
    <w:rsid w:val="001B273D"/>
    <w:rsid w:val="001B2E8C"/>
    <w:rsid w:val="001B3ABB"/>
    <w:rsid w:val="001B3C17"/>
    <w:rsid w:val="001B45F2"/>
    <w:rsid w:val="001B5592"/>
    <w:rsid w:val="001B6BBF"/>
    <w:rsid w:val="001B6F44"/>
    <w:rsid w:val="001B74C1"/>
    <w:rsid w:val="001B78D8"/>
    <w:rsid w:val="001B791C"/>
    <w:rsid w:val="001B7FDC"/>
    <w:rsid w:val="001C0DB7"/>
    <w:rsid w:val="001C2E42"/>
    <w:rsid w:val="001C531E"/>
    <w:rsid w:val="001C59D7"/>
    <w:rsid w:val="001C62AA"/>
    <w:rsid w:val="001C6679"/>
    <w:rsid w:val="001C6DC8"/>
    <w:rsid w:val="001C72D1"/>
    <w:rsid w:val="001D09B9"/>
    <w:rsid w:val="001D0C4A"/>
    <w:rsid w:val="001D1000"/>
    <w:rsid w:val="001D1D34"/>
    <w:rsid w:val="001D2A7A"/>
    <w:rsid w:val="001D2A8E"/>
    <w:rsid w:val="001D3D58"/>
    <w:rsid w:val="001D494B"/>
    <w:rsid w:val="001D4D30"/>
    <w:rsid w:val="001D4FBF"/>
    <w:rsid w:val="001D5182"/>
    <w:rsid w:val="001D62C5"/>
    <w:rsid w:val="001D7174"/>
    <w:rsid w:val="001D731B"/>
    <w:rsid w:val="001D7BEA"/>
    <w:rsid w:val="001E07BE"/>
    <w:rsid w:val="001E260C"/>
    <w:rsid w:val="001E2EA0"/>
    <w:rsid w:val="001E5387"/>
    <w:rsid w:val="001E567A"/>
    <w:rsid w:val="001E5BFF"/>
    <w:rsid w:val="001E5FA7"/>
    <w:rsid w:val="001E64B4"/>
    <w:rsid w:val="001E658D"/>
    <w:rsid w:val="001E79DC"/>
    <w:rsid w:val="001F017B"/>
    <w:rsid w:val="001F1006"/>
    <w:rsid w:val="001F1148"/>
    <w:rsid w:val="001F2407"/>
    <w:rsid w:val="001F45C3"/>
    <w:rsid w:val="001F61B9"/>
    <w:rsid w:val="001F6ACA"/>
    <w:rsid w:val="00200185"/>
    <w:rsid w:val="00200E3B"/>
    <w:rsid w:val="0020275D"/>
    <w:rsid w:val="002039AE"/>
    <w:rsid w:val="00203A9F"/>
    <w:rsid w:val="00203CD0"/>
    <w:rsid w:val="0020429E"/>
    <w:rsid w:val="002042AA"/>
    <w:rsid w:val="00205839"/>
    <w:rsid w:val="00205D75"/>
    <w:rsid w:val="0020609E"/>
    <w:rsid w:val="00206766"/>
    <w:rsid w:val="00206A69"/>
    <w:rsid w:val="00207312"/>
    <w:rsid w:val="00207859"/>
    <w:rsid w:val="002100E2"/>
    <w:rsid w:val="0021165E"/>
    <w:rsid w:val="002116BE"/>
    <w:rsid w:val="002119DD"/>
    <w:rsid w:val="00212A06"/>
    <w:rsid w:val="00212A1E"/>
    <w:rsid w:val="00212E44"/>
    <w:rsid w:val="002133D1"/>
    <w:rsid w:val="002136DD"/>
    <w:rsid w:val="002139B6"/>
    <w:rsid w:val="00213B3C"/>
    <w:rsid w:val="002150FB"/>
    <w:rsid w:val="00215166"/>
    <w:rsid w:val="002167D8"/>
    <w:rsid w:val="00217893"/>
    <w:rsid w:val="00220F93"/>
    <w:rsid w:val="002224B8"/>
    <w:rsid w:val="00223F06"/>
    <w:rsid w:val="002243B9"/>
    <w:rsid w:val="00224594"/>
    <w:rsid w:val="00225D75"/>
    <w:rsid w:val="00226E5B"/>
    <w:rsid w:val="00227DA6"/>
    <w:rsid w:val="00230106"/>
    <w:rsid w:val="00230256"/>
    <w:rsid w:val="00231F22"/>
    <w:rsid w:val="00232855"/>
    <w:rsid w:val="00232B61"/>
    <w:rsid w:val="00233304"/>
    <w:rsid w:val="00233414"/>
    <w:rsid w:val="002334DF"/>
    <w:rsid w:val="00233551"/>
    <w:rsid w:val="00233F21"/>
    <w:rsid w:val="002358C6"/>
    <w:rsid w:val="00240E13"/>
    <w:rsid w:val="002410DF"/>
    <w:rsid w:val="0024162C"/>
    <w:rsid w:val="00242522"/>
    <w:rsid w:val="00243D10"/>
    <w:rsid w:val="002448D2"/>
    <w:rsid w:val="00246EC6"/>
    <w:rsid w:val="00247EC3"/>
    <w:rsid w:val="00250785"/>
    <w:rsid w:val="00253CCD"/>
    <w:rsid w:val="002563E0"/>
    <w:rsid w:val="002578CF"/>
    <w:rsid w:val="00257DBF"/>
    <w:rsid w:val="00260B45"/>
    <w:rsid w:val="00261443"/>
    <w:rsid w:val="00261CCA"/>
    <w:rsid w:val="00261E5E"/>
    <w:rsid w:val="00262423"/>
    <w:rsid w:val="0026384B"/>
    <w:rsid w:val="0026505B"/>
    <w:rsid w:val="0026562A"/>
    <w:rsid w:val="0026570D"/>
    <w:rsid w:val="0026687B"/>
    <w:rsid w:val="00266D37"/>
    <w:rsid w:val="00267214"/>
    <w:rsid w:val="00267EFB"/>
    <w:rsid w:val="0027089E"/>
    <w:rsid w:val="002719F7"/>
    <w:rsid w:val="002725E5"/>
    <w:rsid w:val="002739CB"/>
    <w:rsid w:val="00273FAA"/>
    <w:rsid w:val="00274161"/>
    <w:rsid w:val="00274FCD"/>
    <w:rsid w:val="00275C5C"/>
    <w:rsid w:val="0027644C"/>
    <w:rsid w:val="002766E6"/>
    <w:rsid w:val="002776A8"/>
    <w:rsid w:val="0028057C"/>
    <w:rsid w:val="00281606"/>
    <w:rsid w:val="00281D53"/>
    <w:rsid w:val="00282BE2"/>
    <w:rsid w:val="00283683"/>
    <w:rsid w:val="002837B3"/>
    <w:rsid w:val="002857E4"/>
    <w:rsid w:val="002904A6"/>
    <w:rsid w:val="00291F31"/>
    <w:rsid w:val="002925A3"/>
    <w:rsid w:val="00292DEC"/>
    <w:rsid w:val="002931D0"/>
    <w:rsid w:val="0029324C"/>
    <w:rsid w:val="0029391F"/>
    <w:rsid w:val="00293AA9"/>
    <w:rsid w:val="002955F5"/>
    <w:rsid w:val="00295991"/>
    <w:rsid w:val="00295B46"/>
    <w:rsid w:val="00295F67"/>
    <w:rsid w:val="00295FB8"/>
    <w:rsid w:val="0029743B"/>
    <w:rsid w:val="0029746D"/>
    <w:rsid w:val="002A1FE1"/>
    <w:rsid w:val="002A354A"/>
    <w:rsid w:val="002A371F"/>
    <w:rsid w:val="002A5A50"/>
    <w:rsid w:val="002A5DA2"/>
    <w:rsid w:val="002A6DA9"/>
    <w:rsid w:val="002A72B6"/>
    <w:rsid w:val="002B03FC"/>
    <w:rsid w:val="002B0B8D"/>
    <w:rsid w:val="002B191C"/>
    <w:rsid w:val="002B1D9D"/>
    <w:rsid w:val="002B341A"/>
    <w:rsid w:val="002B3A66"/>
    <w:rsid w:val="002B404F"/>
    <w:rsid w:val="002B5474"/>
    <w:rsid w:val="002B5D50"/>
    <w:rsid w:val="002B6988"/>
    <w:rsid w:val="002B6B35"/>
    <w:rsid w:val="002C0197"/>
    <w:rsid w:val="002C08B6"/>
    <w:rsid w:val="002C12D9"/>
    <w:rsid w:val="002C1A1F"/>
    <w:rsid w:val="002C1B24"/>
    <w:rsid w:val="002C465D"/>
    <w:rsid w:val="002C478D"/>
    <w:rsid w:val="002C5047"/>
    <w:rsid w:val="002C5575"/>
    <w:rsid w:val="002C5896"/>
    <w:rsid w:val="002C746B"/>
    <w:rsid w:val="002D0424"/>
    <w:rsid w:val="002D05FC"/>
    <w:rsid w:val="002D08BC"/>
    <w:rsid w:val="002D317C"/>
    <w:rsid w:val="002D5122"/>
    <w:rsid w:val="002D54B9"/>
    <w:rsid w:val="002D5CB4"/>
    <w:rsid w:val="002D6496"/>
    <w:rsid w:val="002D660A"/>
    <w:rsid w:val="002E0576"/>
    <w:rsid w:val="002E0C93"/>
    <w:rsid w:val="002E2747"/>
    <w:rsid w:val="002E3D8D"/>
    <w:rsid w:val="002E48D4"/>
    <w:rsid w:val="002E54A6"/>
    <w:rsid w:val="002E595B"/>
    <w:rsid w:val="002E5D83"/>
    <w:rsid w:val="002E62E3"/>
    <w:rsid w:val="002E67A4"/>
    <w:rsid w:val="002E6B0F"/>
    <w:rsid w:val="002E745C"/>
    <w:rsid w:val="002F109B"/>
    <w:rsid w:val="002F16AD"/>
    <w:rsid w:val="002F2148"/>
    <w:rsid w:val="002F2B72"/>
    <w:rsid w:val="002F31DC"/>
    <w:rsid w:val="002F3973"/>
    <w:rsid w:val="002F48F6"/>
    <w:rsid w:val="002F48F8"/>
    <w:rsid w:val="002F4990"/>
    <w:rsid w:val="002F5140"/>
    <w:rsid w:val="002F518D"/>
    <w:rsid w:val="002F57BA"/>
    <w:rsid w:val="002F6953"/>
    <w:rsid w:val="002F6D9B"/>
    <w:rsid w:val="002F6E0F"/>
    <w:rsid w:val="002F7E17"/>
    <w:rsid w:val="003004FD"/>
    <w:rsid w:val="003007B2"/>
    <w:rsid w:val="00301406"/>
    <w:rsid w:val="0030332D"/>
    <w:rsid w:val="003044A6"/>
    <w:rsid w:val="003048D4"/>
    <w:rsid w:val="00304B5D"/>
    <w:rsid w:val="00306466"/>
    <w:rsid w:val="0030739F"/>
    <w:rsid w:val="00307AAE"/>
    <w:rsid w:val="00312FBA"/>
    <w:rsid w:val="00313C39"/>
    <w:rsid w:val="00316D62"/>
    <w:rsid w:val="00317138"/>
    <w:rsid w:val="003204E5"/>
    <w:rsid w:val="00321105"/>
    <w:rsid w:val="00321B71"/>
    <w:rsid w:val="00321F11"/>
    <w:rsid w:val="00321F60"/>
    <w:rsid w:val="003224DD"/>
    <w:rsid w:val="00322504"/>
    <w:rsid w:val="00324286"/>
    <w:rsid w:val="00325760"/>
    <w:rsid w:val="00325C02"/>
    <w:rsid w:val="00331796"/>
    <w:rsid w:val="00332432"/>
    <w:rsid w:val="0033292B"/>
    <w:rsid w:val="00332989"/>
    <w:rsid w:val="00333028"/>
    <w:rsid w:val="003337AB"/>
    <w:rsid w:val="00334764"/>
    <w:rsid w:val="00334EA7"/>
    <w:rsid w:val="0033646D"/>
    <w:rsid w:val="0033713E"/>
    <w:rsid w:val="00337271"/>
    <w:rsid w:val="00337411"/>
    <w:rsid w:val="00340B67"/>
    <w:rsid w:val="00340E50"/>
    <w:rsid w:val="003411C3"/>
    <w:rsid w:val="00341356"/>
    <w:rsid w:val="003467A2"/>
    <w:rsid w:val="00346B20"/>
    <w:rsid w:val="003473FA"/>
    <w:rsid w:val="00350694"/>
    <w:rsid w:val="00351234"/>
    <w:rsid w:val="0035124D"/>
    <w:rsid w:val="0035186F"/>
    <w:rsid w:val="003542D8"/>
    <w:rsid w:val="00355549"/>
    <w:rsid w:val="00355FED"/>
    <w:rsid w:val="00356715"/>
    <w:rsid w:val="003568D2"/>
    <w:rsid w:val="00356D18"/>
    <w:rsid w:val="003570C6"/>
    <w:rsid w:val="00360073"/>
    <w:rsid w:val="003610FF"/>
    <w:rsid w:val="00361178"/>
    <w:rsid w:val="003626A2"/>
    <w:rsid w:val="003636CC"/>
    <w:rsid w:val="00365019"/>
    <w:rsid w:val="00366E1A"/>
    <w:rsid w:val="00372760"/>
    <w:rsid w:val="003729DC"/>
    <w:rsid w:val="003732D7"/>
    <w:rsid w:val="00373CBE"/>
    <w:rsid w:val="00373E10"/>
    <w:rsid w:val="003749EF"/>
    <w:rsid w:val="0037592F"/>
    <w:rsid w:val="0037598D"/>
    <w:rsid w:val="00376DF6"/>
    <w:rsid w:val="00377602"/>
    <w:rsid w:val="00380AEF"/>
    <w:rsid w:val="003812D9"/>
    <w:rsid w:val="00381351"/>
    <w:rsid w:val="00381502"/>
    <w:rsid w:val="0038277E"/>
    <w:rsid w:val="00382C2F"/>
    <w:rsid w:val="00383681"/>
    <w:rsid w:val="00383E9A"/>
    <w:rsid w:val="00384B50"/>
    <w:rsid w:val="003919F8"/>
    <w:rsid w:val="00391FC4"/>
    <w:rsid w:val="00392E24"/>
    <w:rsid w:val="00393DBE"/>
    <w:rsid w:val="003943A4"/>
    <w:rsid w:val="0039692E"/>
    <w:rsid w:val="00396F29"/>
    <w:rsid w:val="003970D4"/>
    <w:rsid w:val="003A0750"/>
    <w:rsid w:val="003A0766"/>
    <w:rsid w:val="003A0B28"/>
    <w:rsid w:val="003A15B6"/>
    <w:rsid w:val="003A1E47"/>
    <w:rsid w:val="003A23C4"/>
    <w:rsid w:val="003A29AA"/>
    <w:rsid w:val="003A4A48"/>
    <w:rsid w:val="003A4B93"/>
    <w:rsid w:val="003A5BDA"/>
    <w:rsid w:val="003A62DB"/>
    <w:rsid w:val="003A6818"/>
    <w:rsid w:val="003A7C4A"/>
    <w:rsid w:val="003B0A85"/>
    <w:rsid w:val="003B0D3A"/>
    <w:rsid w:val="003B1A73"/>
    <w:rsid w:val="003B2AEE"/>
    <w:rsid w:val="003B2AF4"/>
    <w:rsid w:val="003B519A"/>
    <w:rsid w:val="003B5674"/>
    <w:rsid w:val="003B56B3"/>
    <w:rsid w:val="003B5E22"/>
    <w:rsid w:val="003B7505"/>
    <w:rsid w:val="003B7AFF"/>
    <w:rsid w:val="003B7CAD"/>
    <w:rsid w:val="003C103C"/>
    <w:rsid w:val="003C1165"/>
    <w:rsid w:val="003C15B6"/>
    <w:rsid w:val="003C2F34"/>
    <w:rsid w:val="003C35DC"/>
    <w:rsid w:val="003C3656"/>
    <w:rsid w:val="003C37A5"/>
    <w:rsid w:val="003C4607"/>
    <w:rsid w:val="003C5540"/>
    <w:rsid w:val="003C5C27"/>
    <w:rsid w:val="003C66D6"/>
    <w:rsid w:val="003C6A97"/>
    <w:rsid w:val="003C75BD"/>
    <w:rsid w:val="003C7BE6"/>
    <w:rsid w:val="003D019B"/>
    <w:rsid w:val="003D23C6"/>
    <w:rsid w:val="003D2BF5"/>
    <w:rsid w:val="003D3BBC"/>
    <w:rsid w:val="003D3E88"/>
    <w:rsid w:val="003D4185"/>
    <w:rsid w:val="003D488A"/>
    <w:rsid w:val="003D50F1"/>
    <w:rsid w:val="003D51A8"/>
    <w:rsid w:val="003D544C"/>
    <w:rsid w:val="003D5A0B"/>
    <w:rsid w:val="003D5EF7"/>
    <w:rsid w:val="003D6E1E"/>
    <w:rsid w:val="003D7486"/>
    <w:rsid w:val="003D7981"/>
    <w:rsid w:val="003E011E"/>
    <w:rsid w:val="003E047C"/>
    <w:rsid w:val="003E0771"/>
    <w:rsid w:val="003E2788"/>
    <w:rsid w:val="003E3EFE"/>
    <w:rsid w:val="003E42D5"/>
    <w:rsid w:val="003E766F"/>
    <w:rsid w:val="003E7756"/>
    <w:rsid w:val="003E7A30"/>
    <w:rsid w:val="003E7D4B"/>
    <w:rsid w:val="003F074D"/>
    <w:rsid w:val="003F0B29"/>
    <w:rsid w:val="003F201A"/>
    <w:rsid w:val="003F3321"/>
    <w:rsid w:val="003F3554"/>
    <w:rsid w:val="003F36EC"/>
    <w:rsid w:val="003F4008"/>
    <w:rsid w:val="003F421F"/>
    <w:rsid w:val="003F427C"/>
    <w:rsid w:val="003F436E"/>
    <w:rsid w:val="003F44AF"/>
    <w:rsid w:val="003F5330"/>
    <w:rsid w:val="003F5D8A"/>
    <w:rsid w:val="003F5F4D"/>
    <w:rsid w:val="003F79A9"/>
    <w:rsid w:val="00401042"/>
    <w:rsid w:val="00401376"/>
    <w:rsid w:val="004019D3"/>
    <w:rsid w:val="00401AFF"/>
    <w:rsid w:val="0040263A"/>
    <w:rsid w:val="00402E2A"/>
    <w:rsid w:val="00402FE4"/>
    <w:rsid w:val="00403E2E"/>
    <w:rsid w:val="004055A5"/>
    <w:rsid w:val="00405A7F"/>
    <w:rsid w:val="00406208"/>
    <w:rsid w:val="0040787C"/>
    <w:rsid w:val="00407F7B"/>
    <w:rsid w:val="004105CF"/>
    <w:rsid w:val="00411877"/>
    <w:rsid w:val="00411E1D"/>
    <w:rsid w:val="00411F8D"/>
    <w:rsid w:val="00412442"/>
    <w:rsid w:val="004133AF"/>
    <w:rsid w:val="00413EBC"/>
    <w:rsid w:val="004140C0"/>
    <w:rsid w:val="0041419B"/>
    <w:rsid w:val="00414AB6"/>
    <w:rsid w:val="004159C3"/>
    <w:rsid w:val="00415BA1"/>
    <w:rsid w:val="00416F85"/>
    <w:rsid w:val="00417654"/>
    <w:rsid w:val="0041765A"/>
    <w:rsid w:val="00417DB6"/>
    <w:rsid w:val="0042038F"/>
    <w:rsid w:val="004204D7"/>
    <w:rsid w:val="00420C74"/>
    <w:rsid w:val="0042240D"/>
    <w:rsid w:val="004239D6"/>
    <w:rsid w:val="004249E1"/>
    <w:rsid w:val="00424EEE"/>
    <w:rsid w:val="004253D2"/>
    <w:rsid w:val="004255FF"/>
    <w:rsid w:val="004272D7"/>
    <w:rsid w:val="0042760E"/>
    <w:rsid w:val="004277AC"/>
    <w:rsid w:val="00427D5F"/>
    <w:rsid w:val="00430010"/>
    <w:rsid w:val="00431F90"/>
    <w:rsid w:val="0043231F"/>
    <w:rsid w:val="00432961"/>
    <w:rsid w:val="004330FE"/>
    <w:rsid w:val="004342EE"/>
    <w:rsid w:val="004350BA"/>
    <w:rsid w:val="00440FE1"/>
    <w:rsid w:val="00443404"/>
    <w:rsid w:val="00443832"/>
    <w:rsid w:val="00443DEB"/>
    <w:rsid w:val="004475A5"/>
    <w:rsid w:val="0044782C"/>
    <w:rsid w:val="00450875"/>
    <w:rsid w:val="00451378"/>
    <w:rsid w:val="004513F1"/>
    <w:rsid w:val="0045199A"/>
    <w:rsid w:val="00452DD2"/>
    <w:rsid w:val="00452FC7"/>
    <w:rsid w:val="00452FCB"/>
    <w:rsid w:val="0045325A"/>
    <w:rsid w:val="004553A8"/>
    <w:rsid w:val="004553C6"/>
    <w:rsid w:val="0045578E"/>
    <w:rsid w:val="004561C3"/>
    <w:rsid w:val="00456308"/>
    <w:rsid w:val="00456994"/>
    <w:rsid w:val="00456D41"/>
    <w:rsid w:val="00457AA5"/>
    <w:rsid w:val="00460201"/>
    <w:rsid w:val="004615A7"/>
    <w:rsid w:val="00462023"/>
    <w:rsid w:val="00462EB5"/>
    <w:rsid w:val="00463BBF"/>
    <w:rsid w:val="00464C47"/>
    <w:rsid w:val="00465B15"/>
    <w:rsid w:val="00466ACA"/>
    <w:rsid w:val="00470742"/>
    <w:rsid w:val="004713E6"/>
    <w:rsid w:val="0047230F"/>
    <w:rsid w:val="004743AE"/>
    <w:rsid w:val="004746D0"/>
    <w:rsid w:val="0047543D"/>
    <w:rsid w:val="004764E7"/>
    <w:rsid w:val="00477034"/>
    <w:rsid w:val="00477DFA"/>
    <w:rsid w:val="00477EBA"/>
    <w:rsid w:val="0048048D"/>
    <w:rsid w:val="00480653"/>
    <w:rsid w:val="00481888"/>
    <w:rsid w:val="00483617"/>
    <w:rsid w:val="004836BF"/>
    <w:rsid w:val="004875EB"/>
    <w:rsid w:val="00487D0D"/>
    <w:rsid w:val="004902F2"/>
    <w:rsid w:val="00491083"/>
    <w:rsid w:val="00492CA9"/>
    <w:rsid w:val="00492D05"/>
    <w:rsid w:val="00493B51"/>
    <w:rsid w:val="00493CA4"/>
    <w:rsid w:val="00494C50"/>
    <w:rsid w:val="00495C7D"/>
    <w:rsid w:val="00497AFE"/>
    <w:rsid w:val="004A00B5"/>
    <w:rsid w:val="004A0779"/>
    <w:rsid w:val="004A0973"/>
    <w:rsid w:val="004A1214"/>
    <w:rsid w:val="004A1289"/>
    <w:rsid w:val="004A15B3"/>
    <w:rsid w:val="004A30FF"/>
    <w:rsid w:val="004A3378"/>
    <w:rsid w:val="004A4251"/>
    <w:rsid w:val="004A470C"/>
    <w:rsid w:val="004A4FAE"/>
    <w:rsid w:val="004A5608"/>
    <w:rsid w:val="004A58B4"/>
    <w:rsid w:val="004A62FA"/>
    <w:rsid w:val="004A7F35"/>
    <w:rsid w:val="004B05CA"/>
    <w:rsid w:val="004B1A6C"/>
    <w:rsid w:val="004B1CED"/>
    <w:rsid w:val="004B1ECE"/>
    <w:rsid w:val="004B2A1D"/>
    <w:rsid w:val="004B31BA"/>
    <w:rsid w:val="004B4163"/>
    <w:rsid w:val="004B5FCE"/>
    <w:rsid w:val="004B7178"/>
    <w:rsid w:val="004B747B"/>
    <w:rsid w:val="004B751C"/>
    <w:rsid w:val="004C013A"/>
    <w:rsid w:val="004C0868"/>
    <w:rsid w:val="004C08EC"/>
    <w:rsid w:val="004C0E6C"/>
    <w:rsid w:val="004C165B"/>
    <w:rsid w:val="004C20C9"/>
    <w:rsid w:val="004C2A64"/>
    <w:rsid w:val="004C33F1"/>
    <w:rsid w:val="004C3A8A"/>
    <w:rsid w:val="004C3D24"/>
    <w:rsid w:val="004C5389"/>
    <w:rsid w:val="004C5522"/>
    <w:rsid w:val="004C7119"/>
    <w:rsid w:val="004C73AA"/>
    <w:rsid w:val="004C7915"/>
    <w:rsid w:val="004C7F9B"/>
    <w:rsid w:val="004D0110"/>
    <w:rsid w:val="004D02F1"/>
    <w:rsid w:val="004D0C37"/>
    <w:rsid w:val="004D0DC1"/>
    <w:rsid w:val="004D497B"/>
    <w:rsid w:val="004D4ACC"/>
    <w:rsid w:val="004D5079"/>
    <w:rsid w:val="004D5127"/>
    <w:rsid w:val="004D6F89"/>
    <w:rsid w:val="004D6F8E"/>
    <w:rsid w:val="004D7F8D"/>
    <w:rsid w:val="004E05A3"/>
    <w:rsid w:val="004E135F"/>
    <w:rsid w:val="004E2308"/>
    <w:rsid w:val="004E36DC"/>
    <w:rsid w:val="004E3A43"/>
    <w:rsid w:val="004E490A"/>
    <w:rsid w:val="004E4C95"/>
    <w:rsid w:val="004E4D99"/>
    <w:rsid w:val="004E4DB7"/>
    <w:rsid w:val="004E63D0"/>
    <w:rsid w:val="004E6CE5"/>
    <w:rsid w:val="004E739D"/>
    <w:rsid w:val="004E75D8"/>
    <w:rsid w:val="004E7FAC"/>
    <w:rsid w:val="004F029D"/>
    <w:rsid w:val="004F0EFD"/>
    <w:rsid w:val="004F1D29"/>
    <w:rsid w:val="004F1EE3"/>
    <w:rsid w:val="004F220A"/>
    <w:rsid w:val="004F2611"/>
    <w:rsid w:val="004F3D32"/>
    <w:rsid w:val="004F44FF"/>
    <w:rsid w:val="004F4F29"/>
    <w:rsid w:val="004F5506"/>
    <w:rsid w:val="004F5B31"/>
    <w:rsid w:val="004F6307"/>
    <w:rsid w:val="00501D01"/>
    <w:rsid w:val="005020C4"/>
    <w:rsid w:val="00502841"/>
    <w:rsid w:val="00504A14"/>
    <w:rsid w:val="00505FC6"/>
    <w:rsid w:val="00506355"/>
    <w:rsid w:val="00506B46"/>
    <w:rsid w:val="0051030E"/>
    <w:rsid w:val="00511795"/>
    <w:rsid w:val="0051265D"/>
    <w:rsid w:val="005127FD"/>
    <w:rsid w:val="00513DBE"/>
    <w:rsid w:val="00516E51"/>
    <w:rsid w:val="00517A29"/>
    <w:rsid w:val="00520862"/>
    <w:rsid w:val="00520CCF"/>
    <w:rsid w:val="0052267D"/>
    <w:rsid w:val="00522A54"/>
    <w:rsid w:val="00522F08"/>
    <w:rsid w:val="0052342A"/>
    <w:rsid w:val="005238E5"/>
    <w:rsid w:val="005252A7"/>
    <w:rsid w:val="00525DF5"/>
    <w:rsid w:val="00526AE7"/>
    <w:rsid w:val="00527D70"/>
    <w:rsid w:val="00530A1A"/>
    <w:rsid w:val="005318C4"/>
    <w:rsid w:val="00531DE0"/>
    <w:rsid w:val="005321B0"/>
    <w:rsid w:val="00533253"/>
    <w:rsid w:val="00533255"/>
    <w:rsid w:val="00533A17"/>
    <w:rsid w:val="005353E7"/>
    <w:rsid w:val="00535CFC"/>
    <w:rsid w:val="00535F1E"/>
    <w:rsid w:val="005362B8"/>
    <w:rsid w:val="005378BE"/>
    <w:rsid w:val="00540FFB"/>
    <w:rsid w:val="00542500"/>
    <w:rsid w:val="00542A70"/>
    <w:rsid w:val="00542CFD"/>
    <w:rsid w:val="00542EEC"/>
    <w:rsid w:val="0054319E"/>
    <w:rsid w:val="00543B36"/>
    <w:rsid w:val="00543F80"/>
    <w:rsid w:val="00544284"/>
    <w:rsid w:val="00544401"/>
    <w:rsid w:val="00544640"/>
    <w:rsid w:val="00544F1F"/>
    <w:rsid w:val="00545767"/>
    <w:rsid w:val="00545930"/>
    <w:rsid w:val="0054695C"/>
    <w:rsid w:val="00547BC5"/>
    <w:rsid w:val="005514A4"/>
    <w:rsid w:val="00551FFB"/>
    <w:rsid w:val="005524AF"/>
    <w:rsid w:val="00552CE9"/>
    <w:rsid w:val="00554AD6"/>
    <w:rsid w:val="005556B2"/>
    <w:rsid w:val="00555DE1"/>
    <w:rsid w:val="00555F3F"/>
    <w:rsid w:val="005560A2"/>
    <w:rsid w:val="005566B2"/>
    <w:rsid w:val="00556903"/>
    <w:rsid w:val="0055791F"/>
    <w:rsid w:val="00560A3C"/>
    <w:rsid w:val="00561344"/>
    <w:rsid w:val="00561440"/>
    <w:rsid w:val="00561C5F"/>
    <w:rsid w:val="0056232E"/>
    <w:rsid w:val="005623DF"/>
    <w:rsid w:val="005635E2"/>
    <w:rsid w:val="00565159"/>
    <w:rsid w:val="00565725"/>
    <w:rsid w:val="00565750"/>
    <w:rsid w:val="00566AD8"/>
    <w:rsid w:val="00567931"/>
    <w:rsid w:val="00567C4F"/>
    <w:rsid w:val="005700DF"/>
    <w:rsid w:val="00570164"/>
    <w:rsid w:val="0057067D"/>
    <w:rsid w:val="0057081E"/>
    <w:rsid w:val="00570DE3"/>
    <w:rsid w:val="00570EA2"/>
    <w:rsid w:val="0057101D"/>
    <w:rsid w:val="005715A0"/>
    <w:rsid w:val="00571A7C"/>
    <w:rsid w:val="0057239E"/>
    <w:rsid w:val="00573E7B"/>
    <w:rsid w:val="005751BE"/>
    <w:rsid w:val="0057612C"/>
    <w:rsid w:val="00582128"/>
    <w:rsid w:val="005833BD"/>
    <w:rsid w:val="005834C1"/>
    <w:rsid w:val="005841EC"/>
    <w:rsid w:val="00584BCC"/>
    <w:rsid w:val="00584F73"/>
    <w:rsid w:val="00585506"/>
    <w:rsid w:val="00585C22"/>
    <w:rsid w:val="00586141"/>
    <w:rsid w:val="00590C1A"/>
    <w:rsid w:val="00590F90"/>
    <w:rsid w:val="005914FA"/>
    <w:rsid w:val="00591510"/>
    <w:rsid w:val="0059238E"/>
    <w:rsid w:val="00592D3A"/>
    <w:rsid w:val="00593B81"/>
    <w:rsid w:val="00593F2D"/>
    <w:rsid w:val="005944D7"/>
    <w:rsid w:val="005946F0"/>
    <w:rsid w:val="00595D84"/>
    <w:rsid w:val="00596066"/>
    <w:rsid w:val="00596088"/>
    <w:rsid w:val="0059666C"/>
    <w:rsid w:val="005A2DB4"/>
    <w:rsid w:val="005A3026"/>
    <w:rsid w:val="005A37B2"/>
    <w:rsid w:val="005A3852"/>
    <w:rsid w:val="005A5234"/>
    <w:rsid w:val="005A5D08"/>
    <w:rsid w:val="005A7B41"/>
    <w:rsid w:val="005A7E38"/>
    <w:rsid w:val="005B042E"/>
    <w:rsid w:val="005B1125"/>
    <w:rsid w:val="005B17EA"/>
    <w:rsid w:val="005B1ABB"/>
    <w:rsid w:val="005B1C2F"/>
    <w:rsid w:val="005B21D0"/>
    <w:rsid w:val="005B22C0"/>
    <w:rsid w:val="005B2B4C"/>
    <w:rsid w:val="005B3662"/>
    <w:rsid w:val="005B3A16"/>
    <w:rsid w:val="005B5566"/>
    <w:rsid w:val="005B5DDF"/>
    <w:rsid w:val="005B6048"/>
    <w:rsid w:val="005B63F8"/>
    <w:rsid w:val="005B688D"/>
    <w:rsid w:val="005B6E3A"/>
    <w:rsid w:val="005C0CC6"/>
    <w:rsid w:val="005C10D1"/>
    <w:rsid w:val="005C14D4"/>
    <w:rsid w:val="005C224F"/>
    <w:rsid w:val="005C36A8"/>
    <w:rsid w:val="005C4109"/>
    <w:rsid w:val="005C67ED"/>
    <w:rsid w:val="005C7145"/>
    <w:rsid w:val="005C7859"/>
    <w:rsid w:val="005D08AE"/>
    <w:rsid w:val="005D0B04"/>
    <w:rsid w:val="005D1D5E"/>
    <w:rsid w:val="005D202F"/>
    <w:rsid w:val="005D35F2"/>
    <w:rsid w:val="005D3998"/>
    <w:rsid w:val="005D3CCD"/>
    <w:rsid w:val="005D4301"/>
    <w:rsid w:val="005D4FB9"/>
    <w:rsid w:val="005D629C"/>
    <w:rsid w:val="005D69B0"/>
    <w:rsid w:val="005E0421"/>
    <w:rsid w:val="005E0F08"/>
    <w:rsid w:val="005E1C54"/>
    <w:rsid w:val="005E3DB7"/>
    <w:rsid w:val="005E3E38"/>
    <w:rsid w:val="005E492F"/>
    <w:rsid w:val="005E4FF9"/>
    <w:rsid w:val="005E7529"/>
    <w:rsid w:val="005F004A"/>
    <w:rsid w:val="005F044B"/>
    <w:rsid w:val="005F220F"/>
    <w:rsid w:val="005F2656"/>
    <w:rsid w:val="005F3460"/>
    <w:rsid w:val="005F39C7"/>
    <w:rsid w:val="005F4770"/>
    <w:rsid w:val="005F57B6"/>
    <w:rsid w:val="005F6215"/>
    <w:rsid w:val="005F6E41"/>
    <w:rsid w:val="005F71F2"/>
    <w:rsid w:val="005F7A54"/>
    <w:rsid w:val="006008E6"/>
    <w:rsid w:val="00600F22"/>
    <w:rsid w:val="00601D2C"/>
    <w:rsid w:val="00602D4F"/>
    <w:rsid w:val="00603D7C"/>
    <w:rsid w:val="00603E89"/>
    <w:rsid w:val="00605DA0"/>
    <w:rsid w:val="00605F58"/>
    <w:rsid w:val="00605F9C"/>
    <w:rsid w:val="00610B4F"/>
    <w:rsid w:val="0061249F"/>
    <w:rsid w:val="00612FFF"/>
    <w:rsid w:val="00613488"/>
    <w:rsid w:val="00613B4D"/>
    <w:rsid w:val="00613C2E"/>
    <w:rsid w:val="00614CA4"/>
    <w:rsid w:val="00614E4F"/>
    <w:rsid w:val="0061508B"/>
    <w:rsid w:val="00617388"/>
    <w:rsid w:val="00617432"/>
    <w:rsid w:val="006205B2"/>
    <w:rsid w:val="00620D6B"/>
    <w:rsid w:val="0062121D"/>
    <w:rsid w:val="00623959"/>
    <w:rsid w:val="00623B70"/>
    <w:rsid w:val="00624197"/>
    <w:rsid w:val="00624D4C"/>
    <w:rsid w:val="00625483"/>
    <w:rsid w:val="0062646C"/>
    <w:rsid w:val="00626BF2"/>
    <w:rsid w:val="00627022"/>
    <w:rsid w:val="0062737E"/>
    <w:rsid w:val="00630496"/>
    <w:rsid w:val="00630F52"/>
    <w:rsid w:val="006314CE"/>
    <w:rsid w:val="00631ECB"/>
    <w:rsid w:val="00632E0A"/>
    <w:rsid w:val="00633228"/>
    <w:rsid w:val="006333A5"/>
    <w:rsid w:val="0063373C"/>
    <w:rsid w:val="00633CA3"/>
    <w:rsid w:val="00635DCC"/>
    <w:rsid w:val="00637F47"/>
    <w:rsid w:val="00641E83"/>
    <w:rsid w:val="00642775"/>
    <w:rsid w:val="00642E26"/>
    <w:rsid w:val="006442BF"/>
    <w:rsid w:val="00645252"/>
    <w:rsid w:val="0064576C"/>
    <w:rsid w:val="00645831"/>
    <w:rsid w:val="006472BB"/>
    <w:rsid w:val="00647792"/>
    <w:rsid w:val="00652AE0"/>
    <w:rsid w:val="00657363"/>
    <w:rsid w:val="006574F2"/>
    <w:rsid w:val="0066019D"/>
    <w:rsid w:val="00660533"/>
    <w:rsid w:val="006609F0"/>
    <w:rsid w:val="00661DA7"/>
    <w:rsid w:val="006624BA"/>
    <w:rsid w:val="00662B1F"/>
    <w:rsid w:val="00663948"/>
    <w:rsid w:val="00663CF0"/>
    <w:rsid w:val="00663DC3"/>
    <w:rsid w:val="006651CE"/>
    <w:rsid w:val="00665220"/>
    <w:rsid w:val="0066527A"/>
    <w:rsid w:val="00666FC0"/>
    <w:rsid w:val="006671B4"/>
    <w:rsid w:val="0067070B"/>
    <w:rsid w:val="006726A3"/>
    <w:rsid w:val="00672784"/>
    <w:rsid w:val="00672AE0"/>
    <w:rsid w:val="0067340C"/>
    <w:rsid w:val="006735E0"/>
    <w:rsid w:val="00673822"/>
    <w:rsid w:val="00673FE2"/>
    <w:rsid w:val="00674B13"/>
    <w:rsid w:val="00675AFC"/>
    <w:rsid w:val="0067693D"/>
    <w:rsid w:val="006770BA"/>
    <w:rsid w:val="00677234"/>
    <w:rsid w:val="006777CC"/>
    <w:rsid w:val="0068507F"/>
    <w:rsid w:val="00685E38"/>
    <w:rsid w:val="0068761A"/>
    <w:rsid w:val="00691F46"/>
    <w:rsid w:val="00692A38"/>
    <w:rsid w:val="00694583"/>
    <w:rsid w:val="0069481D"/>
    <w:rsid w:val="00694E7E"/>
    <w:rsid w:val="00696625"/>
    <w:rsid w:val="00696FFE"/>
    <w:rsid w:val="0069733D"/>
    <w:rsid w:val="00697B08"/>
    <w:rsid w:val="006A162E"/>
    <w:rsid w:val="006A1984"/>
    <w:rsid w:val="006A31AE"/>
    <w:rsid w:val="006A3830"/>
    <w:rsid w:val="006A3DD2"/>
    <w:rsid w:val="006A4188"/>
    <w:rsid w:val="006A4B97"/>
    <w:rsid w:val="006A5265"/>
    <w:rsid w:val="006A5770"/>
    <w:rsid w:val="006A58E8"/>
    <w:rsid w:val="006A5C8C"/>
    <w:rsid w:val="006A66B7"/>
    <w:rsid w:val="006A79F5"/>
    <w:rsid w:val="006B0120"/>
    <w:rsid w:val="006B119D"/>
    <w:rsid w:val="006B1467"/>
    <w:rsid w:val="006B16E1"/>
    <w:rsid w:val="006B1F3C"/>
    <w:rsid w:val="006B20F4"/>
    <w:rsid w:val="006B3532"/>
    <w:rsid w:val="006B390A"/>
    <w:rsid w:val="006B5BE9"/>
    <w:rsid w:val="006B6948"/>
    <w:rsid w:val="006C032E"/>
    <w:rsid w:val="006C04FB"/>
    <w:rsid w:val="006C13B6"/>
    <w:rsid w:val="006C35CE"/>
    <w:rsid w:val="006C3738"/>
    <w:rsid w:val="006C4C6D"/>
    <w:rsid w:val="006C55B3"/>
    <w:rsid w:val="006C657F"/>
    <w:rsid w:val="006C661E"/>
    <w:rsid w:val="006C75F3"/>
    <w:rsid w:val="006D123D"/>
    <w:rsid w:val="006D2009"/>
    <w:rsid w:val="006D2272"/>
    <w:rsid w:val="006D2B9A"/>
    <w:rsid w:val="006D4001"/>
    <w:rsid w:val="006D40BC"/>
    <w:rsid w:val="006D44CC"/>
    <w:rsid w:val="006D480F"/>
    <w:rsid w:val="006D5B9C"/>
    <w:rsid w:val="006D6066"/>
    <w:rsid w:val="006D7D3A"/>
    <w:rsid w:val="006E1566"/>
    <w:rsid w:val="006E16B0"/>
    <w:rsid w:val="006E32BB"/>
    <w:rsid w:val="006E3AD6"/>
    <w:rsid w:val="006E4CF2"/>
    <w:rsid w:val="006E7047"/>
    <w:rsid w:val="006E7488"/>
    <w:rsid w:val="006F0F1D"/>
    <w:rsid w:val="006F3629"/>
    <w:rsid w:val="006F4093"/>
    <w:rsid w:val="006F49DE"/>
    <w:rsid w:val="006F4CC3"/>
    <w:rsid w:val="006F5AAF"/>
    <w:rsid w:val="007015EC"/>
    <w:rsid w:val="00702047"/>
    <w:rsid w:val="00702449"/>
    <w:rsid w:val="00702B8E"/>
    <w:rsid w:val="00704A8B"/>
    <w:rsid w:val="00706DE6"/>
    <w:rsid w:val="007078EE"/>
    <w:rsid w:val="00710347"/>
    <w:rsid w:val="007107AA"/>
    <w:rsid w:val="00710CF4"/>
    <w:rsid w:val="00712383"/>
    <w:rsid w:val="00712545"/>
    <w:rsid w:val="00713411"/>
    <w:rsid w:val="00715A77"/>
    <w:rsid w:val="00716828"/>
    <w:rsid w:val="00717BEA"/>
    <w:rsid w:val="00717CD8"/>
    <w:rsid w:val="00721719"/>
    <w:rsid w:val="00721A58"/>
    <w:rsid w:val="007222DF"/>
    <w:rsid w:val="00722E1D"/>
    <w:rsid w:val="00723448"/>
    <w:rsid w:val="00726871"/>
    <w:rsid w:val="0072732B"/>
    <w:rsid w:val="00727875"/>
    <w:rsid w:val="00731173"/>
    <w:rsid w:val="0073218D"/>
    <w:rsid w:val="0073240A"/>
    <w:rsid w:val="0073316B"/>
    <w:rsid w:val="00733963"/>
    <w:rsid w:val="00733F7F"/>
    <w:rsid w:val="00734EAC"/>
    <w:rsid w:val="00736CB8"/>
    <w:rsid w:val="007400B6"/>
    <w:rsid w:val="00740802"/>
    <w:rsid w:val="0074131F"/>
    <w:rsid w:val="007435E5"/>
    <w:rsid w:val="00744912"/>
    <w:rsid w:val="007449CB"/>
    <w:rsid w:val="0074544D"/>
    <w:rsid w:val="00745C35"/>
    <w:rsid w:val="00746BAB"/>
    <w:rsid w:val="00746DEA"/>
    <w:rsid w:val="00751CF8"/>
    <w:rsid w:val="007520BF"/>
    <w:rsid w:val="00752412"/>
    <w:rsid w:val="00753CA3"/>
    <w:rsid w:val="00754117"/>
    <w:rsid w:val="00754F89"/>
    <w:rsid w:val="00755428"/>
    <w:rsid w:val="00755694"/>
    <w:rsid w:val="00755CC6"/>
    <w:rsid w:val="00756BEB"/>
    <w:rsid w:val="007574D7"/>
    <w:rsid w:val="00760FFD"/>
    <w:rsid w:val="00761357"/>
    <w:rsid w:val="00761CED"/>
    <w:rsid w:val="007625A6"/>
    <w:rsid w:val="0076291B"/>
    <w:rsid w:val="00765514"/>
    <w:rsid w:val="00765F43"/>
    <w:rsid w:val="00767E44"/>
    <w:rsid w:val="0077067D"/>
    <w:rsid w:val="0077085D"/>
    <w:rsid w:val="007708FA"/>
    <w:rsid w:val="00770BC4"/>
    <w:rsid w:val="0077172A"/>
    <w:rsid w:val="00775721"/>
    <w:rsid w:val="00776631"/>
    <w:rsid w:val="00777DC0"/>
    <w:rsid w:val="0078024D"/>
    <w:rsid w:val="00780553"/>
    <w:rsid w:val="00780731"/>
    <w:rsid w:val="00780D61"/>
    <w:rsid w:val="0078349E"/>
    <w:rsid w:val="00783F98"/>
    <w:rsid w:val="00784372"/>
    <w:rsid w:val="00784D22"/>
    <w:rsid w:val="00784F5C"/>
    <w:rsid w:val="00785527"/>
    <w:rsid w:val="00785AAA"/>
    <w:rsid w:val="00785D0A"/>
    <w:rsid w:val="007865D8"/>
    <w:rsid w:val="0079007E"/>
    <w:rsid w:val="007905F4"/>
    <w:rsid w:val="00791BBC"/>
    <w:rsid w:val="0079526E"/>
    <w:rsid w:val="007952C6"/>
    <w:rsid w:val="00796F5B"/>
    <w:rsid w:val="00797FF0"/>
    <w:rsid w:val="007A2EEC"/>
    <w:rsid w:val="007A51D0"/>
    <w:rsid w:val="007A5566"/>
    <w:rsid w:val="007A651B"/>
    <w:rsid w:val="007A6CF9"/>
    <w:rsid w:val="007A7207"/>
    <w:rsid w:val="007A7275"/>
    <w:rsid w:val="007B06CC"/>
    <w:rsid w:val="007B10B8"/>
    <w:rsid w:val="007B10CF"/>
    <w:rsid w:val="007B16D1"/>
    <w:rsid w:val="007B1910"/>
    <w:rsid w:val="007B1ADA"/>
    <w:rsid w:val="007B31CF"/>
    <w:rsid w:val="007B395D"/>
    <w:rsid w:val="007B3A7A"/>
    <w:rsid w:val="007B442B"/>
    <w:rsid w:val="007B4EC2"/>
    <w:rsid w:val="007B4F58"/>
    <w:rsid w:val="007B6BFB"/>
    <w:rsid w:val="007B6E51"/>
    <w:rsid w:val="007B71BE"/>
    <w:rsid w:val="007B783D"/>
    <w:rsid w:val="007C08A7"/>
    <w:rsid w:val="007C192E"/>
    <w:rsid w:val="007C351A"/>
    <w:rsid w:val="007C38E6"/>
    <w:rsid w:val="007C3EEC"/>
    <w:rsid w:val="007C4798"/>
    <w:rsid w:val="007C4D69"/>
    <w:rsid w:val="007C57DB"/>
    <w:rsid w:val="007C61A5"/>
    <w:rsid w:val="007C625B"/>
    <w:rsid w:val="007C6FCE"/>
    <w:rsid w:val="007D02CF"/>
    <w:rsid w:val="007D06BD"/>
    <w:rsid w:val="007D07D7"/>
    <w:rsid w:val="007D151A"/>
    <w:rsid w:val="007D2A55"/>
    <w:rsid w:val="007D2A73"/>
    <w:rsid w:val="007D32E0"/>
    <w:rsid w:val="007D5566"/>
    <w:rsid w:val="007D63EB"/>
    <w:rsid w:val="007D67C1"/>
    <w:rsid w:val="007D6814"/>
    <w:rsid w:val="007D6EC3"/>
    <w:rsid w:val="007D7EE6"/>
    <w:rsid w:val="007E0226"/>
    <w:rsid w:val="007E0250"/>
    <w:rsid w:val="007E1A47"/>
    <w:rsid w:val="007E42A1"/>
    <w:rsid w:val="007E4D31"/>
    <w:rsid w:val="007E733E"/>
    <w:rsid w:val="007E7C6F"/>
    <w:rsid w:val="007F0B8F"/>
    <w:rsid w:val="007F191D"/>
    <w:rsid w:val="007F1961"/>
    <w:rsid w:val="007F1CDB"/>
    <w:rsid w:val="007F27B5"/>
    <w:rsid w:val="007F2998"/>
    <w:rsid w:val="007F443F"/>
    <w:rsid w:val="007F45BC"/>
    <w:rsid w:val="007F4ECD"/>
    <w:rsid w:val="007F521D"/>
    <w:rsid w:val="007F53D9"/>
    <w:rsid w:val="007F7A84"/>
    <w:rsid w:val="00800864"/>
    <w:rsid w:val="00800A5C"/>
    <w:rsid w:val="00801671"/>
    <w:rsid w:val="00801B9F"/>
    <w:rsid w:val="00803F06"/>
    <w:rsid w:val="0080426B"/>
    <w:rsid w:val="0080487A"/>
    <w:rsid w:val="00804E44"/>
    <w:rsid w:val="008061DB"/>
    <w:rsid w:val="00806497"/>
    <w:rsid w:val="008113E1"/>
    <w:rsid w:val="008118AB"/>
    <w:rsid w:val="00812796"/>
    <w:rsid w:val="00813C43"/>
    <w:rsid w:val="008142F5"/>
    <w:rsid w:val="00815483"/>
    <w:rsid w:val="008157B8"/>
    <w:rsid w:val="0081672C"/>
    <w:rsid w:val="00816935"/>
    <w:rsid w:val="00816F33"/>
    <w:rsid w:val="008179A2"/>
    <w:rsid w:val="0082016C"/>
    <w:rsid w:val="00821B40"/>
    <w:rsid w:val="008227EE"/>
    <w:rsid w:val="008247CB"/>
    <w:rsid w:val="008272EB"/>
    <w:rsid w:val="008317AB"/>
    <w:rsid w:val="00832151"/>
    <w:rsid w:val="008326EB"/>
    <w:rsid w:val="00832BD3"/>
    <w:rsid w:val="00834127"/>
    <w:rsid w:val="00834C18"/>
    <w:rsid w:val="00834C81"/>
    <w:rsid w:val="00836799"/>
    <w:rsid w:val="008368E1"/>
    <w:rsid w:val="00836A8C"/>
    <w:rsid w:val="00840DE9"/>
    <w:rsid w:val="0084186B"/>
    <w:rsid w:val="008419C4"/>
    <w:rsid w:val="00841A63"/>
    <w:rsid w:val="00842532"/>
    <w:rsid w:val="00842A93"/>
    <w:rsid w:val="00842AE9"/>
    <w:rsid w:val="008438E7"/>
    <w:rsid w:val="008440FE"/>
    <w:rsid w:val="00844AF5"/>
    <w:rsid w:val="0084503C"/>
    <w:rsid w:val="008454F2"/>
    <w:rsid w:val="008457AC"/>
    <w:rsid w:val="00845D66"/>
    <w:rsid w:val="00845E90"/>
    <w:rsid w:val="008463F9"/>
    <w:rsid w:val="00846FA0"/>
    <w:rsid w:val="008505F4"/>
    <w:rsid w:val="00851298"/>
    <w:rsid w:val="0085476C"/>
    <w:rsid w:val="00855094"/>
    <w:rsid w:val="0085626E"/>
    <w:rsid w:val="00857A40"/>
    <w:rsid w:val="00857F5F"/>
    <w:rsid w:val="00860124"/>
    <w:rsid w:val="008616A0"/>
    <w:rsid w:val="008634CC"/>
    <w:rsid w:val="00864747"/>
    <w:rsid w:val="00865F36"/>
    <w:rsid w:val="008661DF"/>
    <w:rsid w:val="00866B31"/>
    <w:rsid w:val="008726AD"/>
    <w:rsid w:val="00872B62"/>
    <w:rsid w:val="00872FDF"/>
    <w:rsid w:val="008775E8"/>
    <w:rsid w:val="008801B5"/>
    <w:rsid w:val="00881484"/>
    <w:rsid w:val="00881BDF"/>
    <w:rsid w:val="00881DE6"/>
    <w:rsid w:val="00882A80"/>
    <w:rsid w:val="008862E9"/>
    <w:rsid w:val="008903FD"/>
    <w:rsid w:val="0089081A"/>
    <w:rsid w:val="00891B9D"/>
    <w:rsid w:val="00892A08"/>
    <w:rsid w:val="00893C86"/>
    <w:rsid w:val="00893CEA"/>
    <w:rsid w:val="0089488E"/>
    <w:rsid w:val="008950E6"/>
    <w:rsid w:val="00896130"/>
    <w:rsid w:val="008962A5"/>
    <w:rsid w:val="00896FFC"/>
    <w:rsid w:val="00897E07"/>
    <w:rsid w:val="008A17B9"/>
    <w:rsid w:val="008A190F"/>
    <w:rsid w:val="008A2093"/>
    <w:rsid w:val="008A2874"/>
    <w:rsid w:val="008A360E"/>
    <w:rsid w:val="008A38AE"/>
    <w:rsid w:val="008A46F3"/>
    <w:rsid w:val="008A60F5"/>
    <w:rsid w:val="008A6480"/>
    <w:rsid w:val="008A6AEF"/>
    <w:rsid w:val="008B12AC"/>
    <w:rsid w:val="008B12EE"/>
    <w:rsid w:val="008B3171"/>
    <w:rsid w:val="008B3EC8"/>
    <w:rsid w:val="008B475A"/>
    <w:rsid w:val="008B6B1F"/>
    <w:rsid w:val="008B7E96"/>
    <w:rsid w:val="008B7F6A"/>
    <w:rsid w:val="008C0E8C"/>
    <w:rsid w:val="008C1953"/>
    <w:rsid w:val="008C2817"/>
    <w:rsid w:val="008C344C"/>
    <w:rsid w:val="008C3D76"/>
    <w:rsid w:val="008C4005"/>
    <w:rsid w:val="008C47C0"/>
    <w:rsid w:val="008C55D6"/>
    <w:rsid w:val="008C771E"/>
    <w:rsid w:val="008C7FA0"/>
    <w:rsid w:val="008D02DB"/>
    <w:rsid w:val="008D0CA0"/>
    <w:rsid w:val="008D2157"/>
    <w:rsid w:val="008D344D"/>
    <w:rsid w:val="008D3B30"/>
    <w:rsid w:val="008D505A"/>
    <w:rsid w:val="008D68C3"/>
    <w:rsid w:val="008D7049"/>
    <w:rsid w:val="008E1821"/>
    <w:rsid w:val="008E322E"/>
    <w:rsid w:val="008E390D"/>
    <w:rsid w:val="008E53B5"/>
    <w:rsid w:val="008E5E8A"/>
    <w:rsid w:val="008E6393"/>
    <w:rsid w:val="008E6CF2"/>
    <w:rsid w:val="008F0770"/>
    <w:rsid w:val="008F208B"/>
    <w:rsid w:val="008F2D20"/>
    <w:rsid w:val="008F3426"/>
    <w:rsid w:val="008F3D2C"/>
    <w:rsid w:val="008F50AA"/>
    <w:rsid w:val="008F565A"/>
    <w:rsid w:val="008F5867"/>
    <w:rsid w:val="008F5BFF"/>
    <w:rsid w:val="008F5FC1"/>
    <w:rsid w:val="008F66B7"/>
    <w:rsid w:val="008F7EF7"/>
    <w:rsid w:val="009007A3"/>
    <w:rsid w:val="00901599"/>
    <w:rsid w:val="0090398C"/>
    <w:rsid w:val="00904220"/>
    <w:rsid w:val="00905B37"/>
    <w:rsid w:val="00905C87"/>
    <w:rsid w:val="00907127"/>
    <w:rsid w:val="00907470"/>
    <w:rsid w:val="00910CB7"/>
    <w:rsid w:val="009114AC"/>
    <w:rsid w:val="00911C84"/>
    <w:rsid w:val="00912000"/>
    <w:rsid w:val="009121EE"/>
    <w:rsid w:val="0091374F"/>
    <w:rsid w:val="00913999"/>
    <w:rsid w:val="00914AFB"/>
    <w:rsid w:val="009156A1"/>
    <w:rsid w:val="0091575F"/>
    <w:rsid w:val="00915E7E"/>
    <w:rsid w:val="009160EE"/>
    <w:rsid w:val="009163C1"/>
    <w:rsid w:val="00920652"/>
    <w:rsid w:val="00921476"/>
    <w:rsid w:val="00921774"/>
    <w:rsid w:val="00921810"/>
    <w:rsid w:val="00921AFE"/>
    <w:rsid w:val="0092223C"/>
    <w:rsid w:val="0092282C"/>
    <w:rsid w:val="00922FED"/>
    <w:rsid w:val="00923684"/>
    <w:rsid w:val="00924EC8"/>
    <w:rsid w:val="0092563A"/>
    <w:rsid w:val="00925B04"/>
    <w:rsid w:val="00927132"/>
    <w:rsid w:val="009272CD"/>
    <w:rsid w:val="00927B63"/>
    <w:rsid w:val="00932D97"/>
    <w:rsid w:val="00933F47"/>
    <w:rsid w:val="009343CC"/>
    <w:rsid w:val="00936045"/>
    <w:rsid w:val="00937357"/>
    <w:rsid w:val="00937945"/>
    <w:rsid w:val="00940601"/>
    <w:rsid w:val="00940A39"/>
    <w:rsid w:val="00940C9F"/>
    <w:rsid w:val="00941765"/>
    <w:rsid w:val="00944277"/>
    <w:rsid w:val="009452E5"/>
    <w:rsid w:val="00945507"/>
    <w:rsid w:val="00945A6A"/>
    <w:rsid w:val="00945C24"/>
    <w:rsid w:val="009463E0"/>
    <w:rsid w:val="009465D1"/>
    <w:rsid w:val="009476C7"/>
    <w:rsid w:val="00947DD4"/>
    <w:rsid w:val="00950016"/>
    <w:rsid w:val="00950992"/>
    <w:rsid w:val="0095112B"/>
    <w:rsid w:val="00951A8D"/>
    <w:rsid w:val="00952188"/>
    <w:rsid w:val="009522E7"/>
    <w:rsid w:val="0095241E"/>
    <w:rsid w:val="00952D2E"/>
    <w:rsid w:val="00952D8A"/>
    <w:rsid w:val="00954765"/>
    <w:rsid w:val="00954962"/>
    <w:rsid w:val="00954B23"/>
    <w:rsid w:val="00955CFD"/>
    <w:rsid w:val="0095661F"/>
    <w:rsid w:val="0095720A"/>
    <w:rsid w:val="009576CD"/>
    <w:rsid w:val="00957CF2"/>
    <w:rsid w:val="00960483"/>
    <w:rsid w:val="00961455"/>
    <w:rsid w:val="00962281"/>
    <w:rsid w:val="00962AE1"/>
    <w:rsid w:val="00962FEF"/>
    <w:rsid w:val="00963260"/>
    <w:rsid w:val="00963DC1"/>
    <w:rsid w:val="00964F12"/>
    <w:rsid w:val="009658CD"/>
    <w:rsid w:val="00967EBE"/>
    <w:rsid w:val="00970B31"/>
    <w:rsid w:val="00971FBA"/>
    <w:rsid w:val="0097232C"/>
    <w:rsid w:val="00972CF7"/>
    <w:rsid w:val="00973CAC"/>
    <w:rsid w:val="0097455E"/>
    <w:rsid w:val="009746A9"/>
    <w:rsid w:val="00974C73"/>
    <w:rsid w:val="009756CD"/>
    <w:rsid w:val="00976641"/>
    <w:rsid w:val="00976863"/>
    <w:rsid w:val="00976E02"/>
    <w:rsid w:val="0097778F"/>
    <w:rsid w:val="00980BA5"/>
    <w:rsid w:val="00981A93"/>
    <w:rsid w:val="0098216F"/>
    <w:rsid w:val="00983A08"/>
    <w:rsid w:val="00984F19"/>
    <w:rsid w:val="009859B8"/>
    <w:rsid w:val="00986117"/>
    <w:rsid w:val="0098748F"/>
    <w:rsid w:val="00987521"/>
    <w:rsid w:val="009908C6"/>
    <w:rsid w:val="00990E59"/>
    <w:rsid w:val="009913D9"/>
    <w:rsid w:val="00993858"/>
    <w:rsid w:val="009947AF"/>
    <w:rsid w:val="009960B4"/>
    <w:rsid w:val="00996691"/>
    <w:rsid w:val="00996CA8"/>
    <w:rsid w:val="00997AAE"/>
    <w:rsid w:val="00997F8E"/>
    <w:rsid w:val="009A03AE"/>
    <w:rsid w:val="009A0B2B"/>
    <w:rsid w:val="009A2A85"/>
    <w:rsid w:val="009A2C36"/>
    <w:rsid w:val="009A3528"/>
    <w:rsid w:val="009A3C3D"/>
    <w:rsid w:val="009A3C56"/>
    <w:rsid w:val="009A4CEA"/>
    <w:rsid w:val="009A520A"/>
    <w:rsid w:val="009A52E7"/>
    <w:rsid w:val="009A556E"/>
    <w:rsid w:val="009A5B6A"/>
    <w:rsid w:val="009A5C46"/>
    <w:rsid w:val="009A5D95"/>
    <w:rsid w:val="009A79DB"/>
    <w:rsid w:val="009B151E"/>
    <w:rsid w:val="009B1B4F"/>
    <w:rsid w:val="009B1CB2"/>
    <w:rsid w:val="009B2019"/>
    <w:rsid w:val="009B2382"/>
    <w:rsid w:val="009B37A5"/>
    <w:rsid w:val="009B4B41"/>
    <w:rsid w:val="009B4CBB"/>
    <w:rsid w:val="009B4D5E"/>
    <w:rsid w:val="009B5713"/>
    <w:rsid w:val="009B61F6"/>
    <w:rsid w:val="009B72F6"/>
    <w:rsid w:val="009B78C8"/>
    <w:rsid w:val="009B7F62"/>
    <w:rsid w:val="009C00F6"/>
    <w:rsid w:val="009C0AFB"/>
    <w:rsid w:val="009C1977"/>
    <w:rsid w:val="009C2EA9"/>
    <w:rsid w:val="009C36D4"/>
    <w:rsid w:val="009C3973"/>
    <w:rsid w:val="009C3A23"/>
    <w:rsid w:val="009C41F4"/>
    <w:rsid w:val="009C513C"/>
    <w:rsid w:val="009C63B5"/>
    <w:rsid w:val="009C6E42"/>
    <w:rsid w:val="009D068E"/>
    <w:rsid w:val="009D0912"/>
    <w:rsid w:val="009D0F2C"/>
    <w:rsid w:val="009D27BA"/>
    <w:rsid w:val="009D2AAB"/>
    <w:rsid w:val="009D3442"/>
    <w:rsid w:val="009D5790"/>
    <w:rsid w:val="009D6C43"/>
    <w:rsid w:val="009D6F41"/>
    <w:rsid w:val="009D7186"/>
    <w:rsid w:val="009D71BA"/>
    <w:rsid w:val="009E1561"/>
    <w:rsid w:val="009E1606"/>
    <w:rsid w:val="009E194A"/>
    <w:rsid w:val="009E1D0B"/>
    <w:rsid w:val="009E2803"/>
    <w:rsid w:val="009E38E5"/>
    <w:rsid w:val="009E398A"/>
    <w:rsid w:val="009E54BC"/>
    <w:rsid w:val="009E68D0"/>
    <w:rsid w:val="009E706B"/>
    <w:rsid w:val="009E76AA"/>
    <w:rsid w:val="009F05B3"/>
    <w:rsid w:val="009F15BD"/>
    <w:rsid w:val="009F214B"/>
    <w:rsid w:val="009F2BAA"/>
    <w:rsid w:val="009F3850"/>
    <w:rsid w:val="009F3F14"/>
    <w:rsid w:val="009F4042"/>
    <w:rsid w:val="009F498B"/>
    <w:rsid w:val="009F4CE3"/>
    <w:rsid w:val="009F5A84"/>
    <w:rsid w:val="009F5C1A"/>
    <w:rsid w:val="009F5E31"/>
    <w:rsid w:val="009F7A80"/>
    <w:rsid w:val="009F7E81"/>
    <w:rsid w:val="009F7ED1"/>
    <w:rsid w:val="00A00BC6"/>
    <w:rsid w:val="00A00C5F"/>
    <w:rsid w:val="00A0237D"/>
    <w:rsid w:val="00A0252B"/>
    <w:rsid w:val="00A030AD"/>
    <w:rsid w:val="00A0483F"/>
    <w:rsid w:val="00A04E78"/>
    <w:rsid w:val="00A04F42"/>
    <w:rsid w:val="00A058C1"/>
    <w:rsid w:val="00A06010"/>
    <w:rsid w:val="00A06378"/>
    <w:rsid w:val="00A06C6C"/>
    <w:rsid w:val="00A06C8B"/>
    <w:rsid w:val="00A07541"/>
    <w:rsid w:val="00A079F8"/>
    <w:rsid w:val="00A102EC"/>
    <w:rsid w:val="00A1042F"/>
    <w:rsid w:val="00A117A0"/>
    <w:rsid w:val="00A1193E"/>
    <w:rsid w:val="00A11949"/>
    <w:rsid w:val="00A12EF6"/>
    <w:rsid w:val="00A136C3"/>
    <w:rsid w:val="00A139DD"/>
    <w:rsid w:val="00A13B95"/>
    <w:rsid w:val="00A13D8F"/>
    <w:rsid w:val="00A13EE5"/>
    <w:rsid w:val="00A14CA3"/>
    <w:rsid w:val="00A16279"/>
    <w:rsid w:val="00A1650F"/>
    <w:rsid w:val="00A17398"/>
    <w:rsid w:val="00A17551"/>
    <w:rsid w:val="00A20C72"/>
    <w:rsid w:val="00A2110A"/>
    <w:rsid w:val="00A219D8"/>
    <w:rsid w:val="00A22298"/>
    <w:rsid w:val="00A22A59"/>
    <w:rsid w:val="00A22C17"/>
    <w:rsid w:val="00A22D4D"/>
    <w:rsid w:val="00A24D05"/>
    <w:rsid w:val="00A30592"/>
    <w:rsid w:val="00A3079F"/>
    <w:rsid w:val="00A30AD6"/>
    <w:rsid w:val="00A317D4"/>
    <w:rsid w:val="00A3237A"/>
    <w:rsid w:val="00A338D4"/>
    <w:rsid w:val="00A33B6E"/>
    <w:rsid w:val="00A34527"/>
    <w:rsid w:val="00A36113"/>
    <w:rsid w:val="00A37E85"/>
    <w:rsid w:val="00A40788"/>
    <w:rsid w:val="00A41950"/>
    <w:rsid w:val="00A42713"/>
    <w:rsid w:val="00A431C9"/>
    <w:rsid w:val="00A43982"/>
    <w:rsid w:val="00A4441D"/>
    <w:rsid w:val="00A44BB3"/>
    <w:rsid w:val="00A45055"/>
    <w:rsid w:val="00A45EEB"/>
    <w:rsid w:val="00A46800"/>
    <w:rsid w:val="00A46DB4"/>
    <w:rsid w:val="00A473EB"/>
    <w:rsid w:val="00A47A94"/>
    <w:rsid w:val="00A50663"/>
    <w:rsid w:val="00A51947"/>
    <w:rsid w:val="00A5203B"/>
    <w:rsid w:val="00A521BD"/>
    <w:rsid w:val="00A52AFD"/>
    <w:rsid w:val="00A52EF9"/>
    <w:rsid w:val="00A53216"/>
    <w:rsid w:val="00A533B1"/>
    <w:rsid w:val="00A5485D"/>
    <w:rsid w:val="00A572A7"/>
    <w:rsid w:val="00A5744D"/>
    <w:rsid w:val="00A5784E"/>
    <w:rsid w:val="00A601AA"/>
    <w:rsid w:val="00A601F3"/>
    <w:rsid w:val="00A60BBE"/>
    <w:rsid w:val="00A61817"/>
    <w:rsid w:val="00A61AB7"/>
    <w:rsid w:val="00A632DE"/>
    <w:rsid w:val="00A6373A"/>
    <w:rsid w:val="00A64D8B"/>
    <w:rsid w:val="00A6560A"/>
    <w:rsid w:val="00A66DB3"/>
    <w:rsid w:val="00A67390"/>
    <w:rsid w:val="00A67A43"/>
    <w:rsid w:val="00A70A6A"/>
    <w:rsid w:val="00A70BA6"/>
    <w:rsid w:val="00A72444"/>
    <w:rsid w:val="00A72CE1"/>
    <w:rsid w:val="00A7314F"/>
    <w:rsid w:val="00A7359E"/>
    <w:rsid w:val="00A73A42"/>
    <w:rsid w:val="00A75E46"/>
    <w:rsid w:val="00A761DB"/>
    <w:rsid w:val="00A76272"/>
    <w:rsid w:val="00A8281B"/>
    <w:rsid w:val="00A84616"/>
    <w:rsid w:val="00A847A2"/>
    <w:rsid w:val="00A84A1D"/>
    <w:rsid w:val="00A84B68"/>
    <w:rsid w:val="00A862CE"/>
    <w:rsid w:val="00A86478"/>
    <w:rsid w:val="00A86636"/>
    <w:rsid w:val="00A870C3"/>
    <w:rsid w:val="00A87C56"/>
    <w:rsid w:val="00A90D28"/>
    <w:rsid w:val="00A918D8"/>
    <w:rsid w:val="00A93625"/>
    <w:rsid w:val="00A94710"/>
    <w:rsid w:val="00A9489F"/>
    <w:rsid w:val="00A95B6B"/>
    <w:rsid w:val="00AA0021"/>
    <w:rsid w:val="00AA08FD"/>
    <w:rsid w:val="00AA13FF"/>
    <w:rsid w:val="00AA147D"/>
    <w:rsid w:val="00AA20E5"/>
    <w:rsid w:val="00AA29A5"/>
    <w:rsid w:val="00AA4B98"/>
    <w:rsid w:val="00AA5A74"/>
    <w:rsid w:val="00AA5DF1"/>
    <w:rsid w:val="00AA6E07"/>
    <w:rsid w:val="00AA71EA"/>
    <w:rsid w:val="00AB0015"/>
    <w:rsid w:val="00AB079A"/>
    <w:rsid w:val="00AB3357"/>
    <w:rsid w:val="00AB390A"/>
    <w:rsid w:val="00AB492D"/>
    <w:rsid w:val="00AB6BC9"/>
    <w:rsid w:val="00AC12A2"/>
    <w:rsid w:val="00AC21A7"/>
    <w:rsid w:val="00AC3D4F"/>
    <w:rsid w:val="00AC43E8"/>
    <w:rsid w:val="00AC5043"/>
    <w:rsid w:val="00AC5653"/>
    <w:rsid w:val="00AC5C28"/>
    <w:rsid w:val="00AC6294"/>
    <w:rsid w:val="00AC650B"/>
    <w:rsid w:val="00AC6656"/>
    <w:rsid w:val="00AC6AB4"/>
    <w:rsid w:val="00AC7020"/>
    <w:rsid w:val="00AC7E1B"/>
    <w:rsid w:val="00AD05AB"/>
    <w:rsid w:val="00AD07D5"/>
    <w:rsid w:val="00AD08EC"/>
    <w:rsid w:val="00AD0CA4"/>
    <w:rsid w:val="00AD0F56"/>
    <w:rsid w:val="00AD1D3B"/>
    <w:rsid w:val="00AD1F8A"/>
    <w:rsid w:val="00AD21CB"/>
    <w:rsid w:val="00AD247C"/>
    <w:rsid w:val="00AD2F8C"/>
    <w:rsid w:val="00AD3947"/>
    <w:rsid w:val="00AD531B"/>
    <w:rsid w:val="00AD5B32"/>
    <w:rsid w:val="00AD7D5A"/>
    <w:rsid w:val="00AE0839"/>
    <w:rsid w:val="00AE1132"/>
    <w:rsid w:val="00AE30DC"/>
    <w:rsid w:val="00AE34F5"/>
    <w:rsid w:val="00AE55D1"/>
    <w:rsid w:val="00AE6019"/>
    <w:rsid w:val="00AE6CF7"/>
    <w:rsid w:val="00AF01A1"/>
    <w:rsid w:val="00AF0659"/>
    <w:rsid w:val="00AF1110"/>
    <w:rsid w:val="00AF1385"/>
    <w:rsid w:val="00AF14E0"/>
    <w:rsid w:val="00AF20B9"/>
    <w:rsid w:val="00AF357A"/>
    <w:rsid w:val="00AF37EF"/>
    <w:rsid w:val="00AF4781"/>
    <w:rsid w:val="00AF4AC7"/>
    <w:rsid w:val="00AF7049"/>
    <w:rsid w:val="00AF7861"/>
    <w:rsid w:val="00AF7D99"/>
    <w:rsid w:val="00B00D9D"/>
    <w:rsid w:val="00B02250"/>
    <w:rsid w:val="00B02353"/>
    <w:rsid w:val="00B057BB"/>
    <w:rsid w:val="00B05F22"/>
    <w:rsid w:val="00B1028B"/>
    <w:rsid w:val="00B10C09"/>
    <w:rsid w:val="00B116BF"/>
    <w:rsid w:val="00B11F45"/>
    <w:rsid w:val="00B12BD6"/>
    <w:rsid w:val="00B12D2A"/>
    <w:rsid w:val="00B13176"/>
    <w:rsid w:val="00B1436C"/>
    <w:rsid w:val="00B14E9F"/>
    <w:rsid w:val="00B15300"/>
    <w:rsid w:val="00B1673D"/>
    <w:rsid w:val="00B16839"/>
    <w:rsid w:val="00B17199"/>
    <w:rsid w:val="00B17B36"/>
    <w:rsid w:val="00B219B2"/>
    <w:rsid w:val="00B223CB"/>
    <w:rsid w:val="00B23313"/>
    <w:rsid w:val="00B2331F"/>
    <w:rsid w:val="00B25AC4"/>
    <w:rsid w:val="00B26F1B"/>
    <w:rsid w:val="00B27CA8"/>
    <w:rsid w:val="00B3065B"/>
    <w:rsid w:val="00B30DA6"/>
    <w:rsid w:val="00B3247D"/>
    <w:rsid w:val="00B329FE"/>
    <w:rsid w:val="00B32B17"/>
    <w:rsid w:val="00B32B64"/>
    <w:rsid w:val="00B34373"/>
    <w:rsid w:val="00B36EC1"/>
    <w:rsid w:val="00B37742"/>
    <w:rsid w:val="00B40485"/>
    <w:rsid w:val="00B409FC"/>
    <w:rsid w:val="00B41779"/>
    <w:rsid w:val="00B418D6"/>
    <w:rsid w:val="00B41D4C"/>
    <w:rsid w:val="00B4200C"/>
    <w:rsid w:val="00B4261F"/>
    <w:rsid w:val="00B45681"/>
    <w:rsid w:val="00B46576"/>
    <w:rsid w:val="00B471B5"/>
    <w:rsid w:val="00B47FBC"/>
    <w:rsid w:val="00B515A6"/>
    <w:rsid w:val="00B521AB"/>
    <w:rsid w:val="00B539D5"/>
    <w:rsid w:val="00B54E7F"/>
    <w:rsid w:val="00B5593B"/>
    <w:rsid w:val="00B55AB0"/>
    <w:rsid w:val="00B57268"/>
    <w:rsid w:val="00B60E54"/>
    <w:rsid w:val="00B620DB"/>
    <w:rsid w:val="00B6456F"/>
    <w:rsid w:val="00B654C6"/>
    <w:rsid w:val="00B6702B"/>
    <w:rsid w:val="00B673AE"/>
    <w:rsid w:val="00B704A3"/>
    <w:rsid w:val="00B705CD"/>
    <w:rsid w:val="00B7149E"/>
    <w:rsid w:val="00B71F41"/>
    <w:rsid w:val="00B73A5F"/>
    <w:rsid w:val="00B73B99"/>
    <w:rsid w:val="00B73DD1"/>
    <w:rsid w:val="00B74D97"/>
    <w:rsid w:val="00B75E66"/>
    <w:rsid w:val="00B76A45"/>
    <w:rsid w:val="00B7766B"/>
    <w:rsid w:val="00B7795E"/>
    <w:rsid w:val="00B80299"/>
    <w:rsid w:val="00B80379"/>
    <w:rsid w:val="00B807D9"/>
    <w:rsid w:val="00B80D39"/>
    <w:rsid w:val="00B816DE"/>
    <w:rsid w:val="00B81E52"/>
    <w:rsid w:val="00B83980"/>
    <w:rsid w:val="00B86604"/>
    <w:rsid w:val="00B87065"/>
    <w:rsid w:val="00B87CC9"/>
    <w:rsid w:val="00B9021D"/>
    <w:rsid w:val="00B928B1"/>
    <w:rsid w:val="00B92977"/>
    <w:rsid w:val="00B93748"/>
    <w:rsid w:val="00B93D8E"/>
    <w:rsid w:val="00B93EF0"/>
    <w:rsid w:val="00B95E4A"/>
    <w:rsid w:val="00B969FC"/>
    <w:rsid w:val="00BA1646"/>
    <w:rsid w:val="00BA17F3"/>
    <w:rsid w:val="00BA34B0"/>
    <w:rsid w:val="00BA42C0"/>
    <w:rsid w:val="00BA5095"/>
    <w:rsid w:val="00BA5660"/>
    <w:rsid w:val="00BA6670"/>
    <w:rsid w:val="00BA6DFB"/>
    <w:rsid w:val="00BA6F8F"/>
    <w:rsid w:val="00BA7422"/>
    <w:rsid w:val="00BA75E4"/>
    <w:rsid w:val="00BA7676"/>
    <w:rsid w:val="00BA7F11"/>
    <w:rsid w:val="00BB14FB"/>
    <w:rsid w:val="00BB1525"/>
    <w:rsid w:val="00BB174C"/>
    <w:rsid w:val="00BB19ED"/>
    <w:rsid w:val="00BB1DA5"/>
    <w:rsid w:val="00BB2029"/>
    <w:rsid w:val="00BB2EE6"/>
    <w:rsid w:val="00BB3316"/>
    <w:rsid w:val="00BB379A"/>
    <w:rsid w:val="00BB52A1"/>
    <w:rsid w:val="00BB5534"/>
    <w:rsid w:val="00BB6485"/>
    <w:rsid w:val="00BB713B"/>
    <w:rsid w:val="00BB7B75"/>
    <w:rsid w:val="00BB7F7A"/>
    <w:rsid w:val="00BC07E9"/>
    <w:rsid w:val="00BC0B02"/>
    <w:rsid w:val="00BC10ED"/>
    <w:rsid w:val="00BC129E"/>
    <w:rsid w:val="00BC2987"/>
    <w:rsid w:val="00BC3991"/>
    <w:rsid w:val="00BC50D8"/>
    <w:rsid w:val="00BD0550"/>
    <w:rsid w:val="00BD07AF"/>
    <w:rsid w:val="00BD24EF"/>
    <w:rsid w:val="00BD3021"/>
    <w:rsid w:val="00BD3EBE"/>
    <w:rsid w:val="00BD4E17"/>
    <w:rsid w:val="00BD51DB"/>
    <w:rsid w:val="00BD6280"/>
    <w:rsid w:val="00BD6CE1"/>
    <w:rsid w:val="00BD770B"/>
    <w:rsid w:val="00BE042A"/>
    <w:rsid w:val="00BE10E0"/>
    <w:rsid w:val="00BE10F0"/>
    <w:rsid w:val="00BE18F6"/>
    <w:rsid w:val="00BE5B48"/>
    <w:rsid w:val="00BE5BBD"/>
    <w:rsid w:val="00BE5BF3"/>
    <w:rsid w:val="00BE5F3B"/>
    <w:rsid w:val="00BE65C7"/>
    <w:rsid w:val="00BE6EDA"/>
    <w:rsid w:val="00BE72DF"/>
    <w:rsid w:val="00BF0B74"/>
    <w:rsid w:val="00BF37F9"/>
    <w:rsid w:val="00BF3A6E"/>
    <w:rsid w:val="00BF3B08"/>
    <w:rsid w:val="00BF5243"/>
    <w:rsid w:val="00BF58B1"/>
    <w:rsid w:val="00C00E42"/>
    <w:rsid w:val="00C02F61"/>
    <w:rsid w:val="00C03124"/>
    <w:rsid w:val="00C03A2F"/>
    <w:rsid w:val="00C0464C"/>
    <w:rsid w:val="00C0470F"/>
    <w:rsid w:val="00C04F62"/>
    <w:rsid w:val="00C05A04"/>
    <w:rsid w:val="00C05F27"/>
    <w:rsid w:val="00C06196"/>
    <w:rsid w:val="00C10742"/>
    <w:rsid w:val="00C10CE8"/>
    <w:rsid w:val="00C119AE"/>
    <w:rsid w:val="00C125D7"/>
    <w:rsid w:val="00C1442F"/>
    <w:rsid w:val="00C14756"/>
    <w:rsid w:val="00C14B7B"/>
    <w:rsid w:val="00C15A7C"/>
    <w:rsid w:val="00C16403"/>
    <w:rsid w:val="00C16B3E"/>
    <w:rsid w:val="00C178E3"/>
    <w:rsid w:val="00C205CE"/>
    <w:rsid w:val="00C20871"/>
    <w:rsid w:val="00C20ECF"/>
    <w:rsid w:val="00C22898"/>
    <w:rsid w:val="00C22D02"/>
    <w:rsid w:val="00C2401F"/>
    <w:rsid w:val="00C26F90"/>
    <w:rsid w:val="00C302DE"/>
    <w:rsid w:val="00C30ED9"/>
    <w:rsid w:val="00C3229B"/>
    <w:rsid w:val="00C32E83"/>
    <w:rsid w:val="00C33306"/>
    <w:rsid w:val="00C339A2"/>
    <w:rsid w:val="00C3424C"/>
    <w:rsid w:val="00C34FC1"/>
    <w:rsid w:val="00C373E4"/>
    <w:rsid w:val="00C375A3"/>
    <w:rsid w:val="00C401EB"/>
    <w:rsid w:val="00C40B26"/>
    <w:rsid w:val="00C431AC"/>
    <w:rsid w:val="00C4371B"/>
    <w:rsid w:val="00C43CE5"/>
    <w:rsid w:val="00C46A49"/>
    <w:rsid w:val="00C46D9D"/>
    <w:rsid w:val="00C4755E"/>
    <w:rsid w:val="00C4797E"/>
    <w:rsid w:val="00C47E9A"/>
    <w:rsid w:val="00C47F2C"/>
    <w:rsid w:val="00C500BB"/>
    <w:rsid w:val="00C503DE"/>
    <w:rsid w:val="00C5089E"/>
    <w:rsid w:val="00C519DD"/>
    <w:rsid w:val="00C54133"/>
    <w:rsid w:val="00C54FC2"/>
    <w:rsid w:val="00C55BEC"/>
    <w:rsid w:val="00C55C88"/>
    <w:rsid w:val="00C55DA5"/>
    <w:rsid w:val="00C564D9"/>
    <w:rsid w:val="00C56CBF"/>
    <w:rsid w:val="00C57D8D"/>
    <w:rsid w:val="00C61738"/>
    <w:rsid w:val="00C623AA"/>
    <w:rsid w:val="00C64768"/>
    <w:rsid w:val="00C658F7"/>
    <w:rsid w:val="00C659B6"/>
    <w:rsid w:val="00C662E7"/>
    <w:rsid w:val="00C66765"/>
    <w:rsid w:val="00C676E6"/>
    <w:rsid w:val="00C70CD7"/>
    <w:rsid w:val="00C72A49"/>
    <w:rsid w:val="00C736D7"/>
    <w:rsid w:val="00C75879"/>
    <w:rsid w:val="00C75939"/>
    <w:rsid w:val="00C76083"/>
    <w:rsid w:val="00C763B3"/>
    <w:rsid w:val="00C77599"/>
    <w:rsid w:val="00C7793B"/>
    <w:rsid w:val="00C80215"/>
    <w:rsid w:val="00C805E1"/>
    <w:rsid w:val="00C80847"/>
    <w:rsid w:val="00C8171A"/>
    <w:rsid w:val="00C81B10"/>
    <w:rsid w:val="00C839B4"/>
    <w:rsid w:val="00C83C1F"/>
    <w:rsid w:val="00C83CD1"/>
    <w:rsid w:val="00C84271"/>
    <w:rsid w:val="00C85374"/>
    <w:rsid w:val="00C8568D"/>
    <w:rsid w:val="00C85895"/>
    <w:rsid w:val="00C85923"/>
    <w:rsid w:val="00C86300"/>
    <w:rsid w:val="00C87B63"/>
    <w:rsid w:val="00C87D7B"/>
    <w:rsid w:val="00C903C8"/>
    <w:rsid w:val="00C904FB"/>
    <w:rsid w:val="00C90CD3"/>
    <w:rsid w:val="00C914C5"/>
    <w:rsid w:val="00C91899"/>
    <w:rsid w:val="00C91B30"/>
    <w:rsid w:val="00C92E86"/>
    <w:rsid w:val="00C932F9"/>
    <w:rsid w:val="00C93619"/>
    <w:rsid w:val="00C93D57"/>
    <w:rsid w:val="00C942AD"/>
    <w:rsid w:val="00C964C0"/>
    <w:rsid w:val="00C97F95"/>
    <w:rsid w:val="00C97FDA"/>
    <w:rsid w:val="00CA27C5"/>
    <w:rsid w:val="00CA2E31"/>
    <w:rsid w:val="00CA2FF2"/>
    <w:rsid w:val="00CA4264"/>
    <w:rsid w:val="00CA6297"/>
    <w:rsid w:val="00CB2713"/>
    <w:rsid w:val="00CB2AAF"/>
    <w:rsid w:val="00CB2FE1"/>
    <w:rsid w:val="00CB34F8"/>
    <w:rsid w:val="00CB3EC3"/>
    <w:rsid w:val="00CB55E2"/>
    <w:rsid w:val="00CB5F4C"/>
    <w:rsid w:val="00CB78C6"/>
    <w:rsid w:val="00CB7E14"/>
    <w:rsid w:val="00CB7FC0"/>
    <w:rsid w:val="00CC1CA2"/>
    <w:rsid w:val="00CC25D5"/>
    <w:rsid w:val="00CC26EF"/>
    <w:rsid w:val="00CC31D4"/>
    <w:rsid w:val="00CC5127"/>
    <w:rsid w:val="00CC5347"/>
    <w:rsid w:val="00CC61DE"/>
    <w:rsid w:val="00CC6A00"/>
    <w:rsid w:val="00CC7EB0"/>
    <w:rsid w:val="00CD053C"/>
    <w:rsid w:val="00CD143C"/>
    <w:rsid w:val="00CD1F04"/>
    <w:rsid w:val="00CD1F30"/>
    <w:rsid w:val="00CD215E"/>
    <w:rsid w:val="00CD33DD"/>
    <w:rsid w:val="00CD347A"/>
    <w:rsid w:val="00CD3874"/>
    <w:rsid w:val="00CD481C"/>
    <w:rsid w:val="00CD4DCE"/>
    <w:rsid w:val="00CD4E27"/>
    <w:rsid w:val="00CD58F1"/>
    <w:rsid w:val="00CD6106"/>
    <w:rsid w:val="00CE00BF"/>
    <w:rsid w:val="00CE0349"/>
    <w:rsid w:val="00CE03C7"/>
    <w:rsid w:val="00CE0C10"/>
    <w:rsid w:val="00CE1631"/>
    <w:rsid w:val="00CE38EB"/>
    <w:rsid w:val="00CE5082"/>
    <w:rsid w:val="00CE5C62"/>
    <w:rsid w:val="00CE60DB"/>
    <w:rsid w:val="00CE7C5B"/>
    <w:rsid w:val="00CE7E13"/>
    <w:rsid w:val="00CF1B88"/>
    <w:rsid w:val="00CF3966"/>
    <w:rsid w:val="00CF480A"/>
    <w:rsid w:val="00CF564F"/>
    <w:rsid w:val="00CF68EE"/>
    <w:rsid w:val="00D007D5"/>
    <w:rsid w:val="00D015F9"/>
    <w:rsid w:val="00D02D76"/>
    <w:rsid w:val="00D0339E"/>
    <w:rsid w:val="00D04690"/>
    <w:rsid w:val="00D0630D"/>
    <w:rsid w:val="00D06BF4"/>
    <w:rsid w:val="00D0714F"/>
    <w:rsid w:val="00D07A05"/>
    <w:rsid w:val="00D07ADD"/>
    <w:rsid w:val="00D07FC9"/>
    <w:rsid w:val="00D10A96"/>
    <w:rsid w:val="00D110C3"/>
    <w:rsid w:val="00D124AF"/>
    <w:rsid w:val="00D15612"/>
    <w:rsid w:val="00D165F7"/>
    <w:rsid w:val="00D172D2"/>
    <w:rsid w:val="00D21698"/>
    <w:rsid w:val="00D22103"/>
    <w:rsid w:val="00D2303B"/>
    <w:rsid w:val="00D23B5F"/>
    <w:rsid w:val="00D254F2"/>
    <w:rsid w:val="00D25A1B"/>
    <w:rsid w:val="00D26886"/>
    <w:rsid w:val="00D26AC8"/>
    <w:rsid w:val="00D277AD"/>
    <w:rsid w:val="00D27D63"/>
    <w:rsid w:val="00D30C2B"/>
    <w:rsid w:val="00D320B3"/>
    <w:rsid w:val="00D32787"/>
    <w:rsid w:val="00D33088"/>
    <w:rsid w:val="00D33457"/>
    <w:rsid w:val="00D34936"/>
    <w:rsid w:val="00D35CC1"/>
    <w:rsid w:val="00D37251"/>
    <w:rsid w:val="00D408BE"/>
    <w:rsid w:val="00D43B33"/>
    <w:rsid w:val="00D43B6D"/>
    <w:rsid w:val="00D43F6C"/>
    <w:rsid w:val="00D4529B"/>
    <w:rsid w:val="00D479BE"/>
    <w:rsid w:val="00D47D13"/>
    <w:rsid w:val="00D515C3"/>
    <w:rsid w:val="00D51AC2"/>
    <w:rsid w:val="00D51BFE"/>
    <w:rsid w:val="00D51F44"/>
    <w:rsid w:val="00D52D39"/>
    <w:rsid w:val="00D53081"/>
    <w:rsid w:val="00D54B3A"/>
    <w:rsid w:val="00D56200"/>
    <w:rsid w:val="00D56C74"/>
    <w:rsid w:val="00D5708D"/>
    <w:rsid w:val="00D573F1"/>
    <w:rsid w:val="00D575DF"/>
    <w:rsid w:val="00D614C9"/>
    <w:rsid w:val="00D637DD"/>
    <w:rsid w:val="00D6434B"/>
    <w:rsid w:val="00D6544D"/>
    <w:rsid w:val="00D654EB"/>
    <w:rsid w:val="00D67151"/>
    <w:rsid w:val="00D703E1"/>
    <w:rsid w:val="00D70C87"/>
    <w:rsid w:val="00D71500"/>
    <w:rsid w:val="00D72B85"/>
    <w:rsid w:val="00D72DE3"/>
    <w:rsid w:val="00D72FEA"/>
    <w:rsid w:val="00D73F37"/>
    <w:rsid w:val="00D74B78"/>
    <w:rsid w:val="00D769E0"/>
    <w:rsid w:val="00D80102"/>
    <w:rsid w:val="00D80D63"/>
    <w:rsid w:val="00D835F6"/>
    <w:rsid w:val="00D84C3A"/>
    <w:rsid w:val="00D84E63"/>
    <w:rsid w:val="00D86B77"/>
    <w:rsid w:val="00D91178"/>
    <w:rsid w:val="00D919B6"/>
    <w:rsid w:val="00D923B5"/>
    <w:rsid w:val="00D93BA4"/>
    <w:rsid w:val="00D94ABD"/>
    <w:rsid w:val="00D9589A"/>
    <w:rsid w:val="00D95915"/>
    <w:rsid w:val="00D961C5"/>
    <w:rsid w:val="00D96E5E"/>
    <w:rsid w:val="00D97F77"/>
    <w:rsid w:val="00DA5AD3"/>
    <w:rsid w:val="00DA5C2F"/>
    <w:rsid w:val="00DA61E1"/>
    <w:rsid w:val="00DA6559"/>
    <w:rsid w:val="00DA7963"/>
    <w:rsid w:val="00DB0490"/>
    <w:rsid w:val="00DB07B1"/>
    <w:rsid w:val="00DB0A64"/>
    <w:rsid w:val="00DB3C41"/>
    <w:rsid w:val="00DB48F4"/>
    <w:rsid w:val="00DB679F"/>
    <w:rsid w:val="00DB6FBA"/>
    <w:rsid w:val="00DB722A"/>
    <w:rsid w:val="00DB7B79"/>
    <w:rsid w:val="00DC0CCF"/>
    <w:rsid w:val="00DC1565"/>
    <w:rsid w:val="00DC1CE1"/>
    <w:rsid w:val="00DC1EA1"/>
    <w:rsid w:val="00DC2682"/>
    <w:rsid w:val="00DC5C87"/>
    <w:rsid w:val="00DC62D1"/>
    <w:rsid w:val="00DC707F"/>
    <w:rsid w:val="00DD0394"/>
    <w:rsid w:val="00DD1314"/>
    <w:rsid w:val="00DD1966"/>
    <w:rsid w:val="00DD1E04"/>
    <w:rsid w:val="00DD201D"/>
    <w:rsid w:val="00DD22A6"/>
    <w:rsid w:val="00DD28C2"/>
    <w:rsid w:val="00DD29F2"/>
    <w:rsid w:val="00DD3C66"/>
    <w:rsid w:val="00DD455D"/>
    <w:rsid w:val="00DD4C07"/>
    <w:rsid w:val="00DD5409"/>
    <w:rsid w:val="00DD59EA"/>
    <w:rsid w:val="00DD66D5"/>
    <w:rsid w:val="00DD6A38"/>
    <w:rsid w:val="00DD7B1D"/>
    <w:rsid w:val="00DE0231"/>
    <w:rsid w:val="00DE08DE"/>
    <w:rsid w:val="00DE0DE6"/>
    <w:rsid w:val="00DE1E7C"/>
    <w:rsid w:val="00DE2A68"/>
    <w:rsid w:val="00DE6064"/>
    <w:rsid w:val="00DE7BE6"/>
    <w:rsid w:val="00DF00FC"/>
    <w:rsid w:val="00DF0A80"/>
    <w:rsid w:val="00DF2384"/>
    <w:rsid w:val="00DF3166"/>
    <w:rsid w:val="00DF333E"/>
    <w:rsid w:val="00DF500E"/>
    <w:rsid w:val="00DF556B"/>
    <w:rsid w:val="00DF5AE2"/>
    <w:rsid w:val="00DF6667"/>
    <w:rsid w:val="00DF6917"/>
    <w:rsid w:val="00DF74D1"/>
    <w:rsid w:val="00DF7536"/>
    <w:rsid w:val="00E03585"/>
    <w:rsid w:val="00E03AE6"/>
    <w:rsid w:val="00E03BEF"/>
    <w:rsid w:val="00E045E0"/>
    <w:rsid w:val="00E046B3"/>
    <w:rsid w:val="00E04BE2"/>
    <w:rsid w:val="00E0697C"/>
    <w:rsid w:val="00E06A35"/>
    <w:rsid w:val="00E06C9E"/>
    <w:rsid w:val="00E10341"/>
    <w:rsid w:val="00E10789"/>
    <w:rsid w:val="00E10BD3"/>
    <w:rsid w:val="00E11D6C"/>
    <w:rsid w:val="00E1305A"/>
    <w:rsid w:val="00E139B3"/>
    <w:rsid w:val="00E14134"/>
    <w:rsid w:val="00E14826"/>
    <w:rsid w:val="00E1568E"/>
    <w:rsid w:val="00E15E52"/>
    <w:rsid w:val="00E17B29"/>
    <w:rsid w:val="00E20A06"/>
    <w:rsid w:val="00E20D1B"/>
    <w:rsid w:val="00E214E6"/>
    <w:rsid w:val="00E226EA"/>
    <w:rsid w:val="00E235B9"/>
    <w:rsid w:val="00E23939"/>
    <w:rsid w:val="00E23F2E"/>
    <w:rsid w:val="00E24DD4"/>
    <w:rsid w:val="00E26D09"/>
    <w:rsid w:val="00E27242"/>
    <w:rsid w:val="00E30190"/>
    <w:rsid w:val="00E304AB"/>
    <w:rsid w:val="00E3126E"/>
    <w:rsid w:val="00E315C3"/>
    <w:rsid w:val="00E31DED"/>
    <w:rsid w:val="00E32255"/>
    <w:rsid w:val="00E32700"/>
    <w:rsid w:val="00E32889"/>
    <w:rsid w:val="00E32F10"/>
    <w:rsid w:val="00E350F6"/>
    <w:rsid w:val="00E35A31"/>
    <w:rsid w:val="00E361FC"/>
    <w:rsid w:val="00E407A3"/>
    <w:rsid w:val="00E408A8"/>
    <w:rsid w:val="00E40AC3"/>
    <w:rsid w:val="00E424AA"/>
    <w:rsid w:val="00E4385B"/>
    <w:rsid w:val="00E4422F"/>
    <w:rsid w:val="00E44AD3"/>
    <w:rsid w:val="00E4507B"/>
    <w:rsid w:val="00E45C26"/>
    <w:rsid w:val="00E45F60"/>
    <w:rsid w:val="00E462E7"/>
    <w:rsid w:val="00E47511"/>
    <w:rsid w:val="00E478B9"/>
    <w:rsid w:val="00E50260"/>
    <w:rsid w:val="00E5031C"/>
    <w:rsid w:val="00E519AB"/>
    <w:rsid w:val="00E529C0"/>
    <w:rsid w:val="00E52B12"/>
    <w:rsid w:val="00E52FD7"/>
    <w:rsid w:val="00E53817"/>
    <w:rsid w:val="00E54BA4"/>
    <w:rsid w:val="00E54C5D"/>
    <w:rsid w:val="00E5596C"/>
    <w:rsid w:val="00E56410"/>
    <w:rsid w:val="00E60310"/>
    <w:rsid w:val="00E607CE"/>
    <w:rsid w:val="00E60BB7"/>
    <w:rsid w:val="00E6192A"/>
    <w:rsid w:val="00E6203B"/>
    <w:rsid w:val="00E6223E"/>
    <w:rsid w:val="00E62405"/>
    <w:rsid w:val="00E62577"/>
    <w:rsid w:val="00E63B55"/>
    <w:rsid w:val="00E65745"/>
    <w:rsid w:val="00E658E4"/>
    <w:rsid w:val="00E65AA2"/>
    <w:rsid w:val="00E66AD6"/>
    <w:rsid w:val="00E66B8A"/>
    <w:rsid w:val="00E67727"/>
    <w:rsid w:val="00E702BE"/>
    <w:rsid w:val="00E71113"/>
    <w:rsid w:val="00E717E2"/>
    <w:rsid w:val="00E71BD4"/>
    <w:rsid w:val="00E7326E"/>
    <w:rsid w:val="00E73685"/>
    <w:rsid w:val="00E736BA"/>
    <w:rsid w:val="00E74980"/>
    <w:rsid w:val="00E75C4B"/>
    <w:rsid w:val="00E75D7A"/>
    <w:rsid w:val="00E7642D"/>
    <w:rsid w:val="00E76A16"/>
    <w:rsid w:val="00E773C7"/>
    <w:rsid w:val="00E804DC"/>
    <w:rsid w:val="00E8096F"/>
    <w:rsid w:val="00E80E8A"/>
    <w:rsid w:val="00E812D6"/>
    <w:rsid w:val="00E81720"/>
    <w:rsid w:val="00E81F90"/>
    <w:rsid w:val="00E82A4E"/>
    <w:rsid w:val="00E82EAF"/>
    <w:rsid w:val="00E8303C"/>
    <w:rsid w:val="00E83330"/>
    <w:rsid w:val="00E8349C"/>
    <w:rsid w:val="00E858C3"/>
    <w:rsid w:val="00E86C45"/>
    <w:rsid w:val="00E91108"/>
    <w:rsid w:val="00E92D9A"/>
    <w:rsid w:val="00E93C2C"/>
    <w:rsid w:val="00E93E38"/>
    <w:rsid w:val="00E94B15"/>
    <w:rsid w:val="00E95379"/>
    <w:rsid w:val="00E96F1A"/>
    <w:rsid w:val="00E972E7"/>
    <w:rsid w:val="00E97A9A"/>
    <w:rsid w:val="00EA1315"/>
    <w:rsid w:val="00EA2625"/>
    <w:rsid w:val="00EA444A"/>
    <w:rsid w:val="00EA4765"/>
    <w:rsid w:val="00EA4850"/>
    <w:rsid w:val="00EA59EA"/>
    <w:rsid w:val="00EB2096"/>
    <w:rsid w:val="00EB2127"/>
    <w:rsid w:val="00EB21FE"/>
    <w:rsid w:val="00EB25DE"/>
    <w:rsid w:val="00EB26A6"/>
    <w:rsid w:val="00EB28D2"/>
    <w:rsid w:val="00EB2DD6"/>
    <w:rsid w:val="00EB2DD8"/>
    <w:rsid w:val="00EB3ACE"/>
    <w:rsid w:val="00EB55D9"/>
    <w:rsid w:val="00EB5A64"/>
    <w:rsid w:val="00EB72AA"/>
    <w:rsid w:val="00EB7AE5"/>
    <w:rsid w:val="00EC0C97"/>
    <w:rsid w:val="00EC1E09"/>
    <w:rsid w:val="00EC3D72"/>
    <w:rsid w:val="00EC4405"/>
    <w:rsid w:val="00EC501D"/>
    <w:rsid w:val="00EC59F0"/>
    <w:rsid w:val="00EC6615"/>
    <w:rsid w:val="00EC7765"/>
    <w:rsid w:val="00EC7767"/>
    <w:rsid w:val="00ED0EF0"/>
    <w:rsid w:val="00ED220E"/>
    <w:rsid w:val="00ED3421"/>
    <w:rsid w:val="00ED3924"/>
    <w:rsid w:val="00ED42BE"/>
    <w:rsid w:val="00ED4C06"/>
    <w:rsid w:val="00ED534C"/>
    <w:rsid w:val="00ED5844"/>
    <w:rsid w:val="00ED5913"/>
    <w:rsid w:val="00ED7B2F"/>
    <w:rsid w:val="00EE1996"/>
    <w:rsid w:val="00EE23DB"/>
    <w:rsid w:val="00EE3240"/>
    <w:rsid w:val="00EE337D"/>
    <w:rsid w:val="00EE3C32"/>
    <w:rsid w:val="00EE5011"/>
    <w:rsid w:val="00EE5494"/>
    <w:rsid w:val="00EE6114"/>
    <w:rsid w:val="00EE6190"/>
    <w:rsid w:val="00EF0440"/>
    <w:rsid w:val="00EF0643"/>
    <w:rsid w:val="00EF0EDA"/>
    <w:rsid w:val="00EF1E04"/>
    <w:rsid w:val="00EF1E90"/>
    <w:rsid w:val="00EF29A3"/>
    <w:rsid w:val="00EF2E4F"/>
    <w:rsid w:val="00EF56EA"/>
    <w:rsid w:val="00EF61E5"/>
    <w:rsid w:val="00EF6467"/>
    <w:rsid w:val="00EF664D"/>
    <w:rsid w:val="00EF6842"/>
    <w:rsid w:val="00F015BC"/>
    <w:rsid w:val="00F02787"/>
    <w:rsid w:val="00F028E7"/>
    <w:rsid w:val="00F03703"/>
    <w:rsid w:val="00F03D37"/>
    <w:rsid w:val="00F0420A"/>
    <w:rsid w:val="00F0508C"/>
    <w:rsid w:val="00F07C10"/>
    <w:rsid w:val="00F07E8F"/>
    <w:rsid w:val="00F118C1"/>
    <w:rsid w:val="00F12212"/>
    <w:rsid w:val="00F1310B"/>
    <w:rsid w:val="00F134AC"/>
    <w:rsid w:val="00F13C05"/>
    <w:rsid w:val="00F147A9"/>
    <w:rsid w:val="00F14F37"/>
    <w:rsid w:val="00F15B54"/>
    <w:rsid w:val="00F15D30"/>
    <w:rsid w:val="00F179F1"/>
    <w:rsid w:val="00F17EDD"/>
    <w:rsid w:val="00F20517"/>
    <w:rsid w:val="00F21083"/>
    <w:rsid w:val="00F2223E"/>
    <w:rsid w:val="00F2459D"/>
    <w:rsid w:val="00F24BBF"/>
    <w:rsid w:val="00F26115"/>
    <w:rsid w:val="00F26411"/>
    <w:rsid w:val="00F2718D"/>
    <w:rsid w:val="00F32398"/>
    <w:rsid w:val="00F32F4A"/>
    <w:rsid w:val="00F33091"/>
    <w:rsid w:val="00F339D8"/>
    <w:rsid w:val="00F3407E"/>
    <w:rsid w:val="00F34217"/>
    <w:rsid w:val="00F35A59"/>
    <w:rsid w:val="00F35B65"/>
    <w:rsid w:val="00F36866"/>
    <w:rsid w:val="00F36D8D"/>
    <w:rsid w:val="00F37B67"/>
    <w:rsid w:val="00F37CC3"/>
    <w:rsid w:val="00F40437"/>
    <w:rsid w:val="00F40540"/>
    <w:rsid w:val="00F4234A"/>
    <w:rsid w:val="00F4262F"/>
    <w:rsid w:val="00F42790"/>
    <w:rsid w:val="00F42F0D"/>
    <w:rsid w:val="00F452E0"/>
    <w:rsid w:val="00F45641"/>
    <w:rsid w:val="00F458A6"/>
    <w:rsid w:val="00F45BEE"/>
    <w:rsid w:val="00F46840"/>
    <w:rsid w:val="00F47132"/>
    <w:rsid w:val="00F47C89"/>
    <w:rsid w:val="00F50E5C"/>
    <w:rsid w:val="00F50F56"/>
    <w:rsid w:val="00F51A00"/>
    <w:rsid w:val="00F51CB5"/>
    <w:rsid w:val="00F52101"/>
    <w:rsid w:val="00F52A66"/>
    <w:rsid w:val="00F52DEA"/>
    <w:rsid w:val="00F53C05"/>
    <w:rsid w:val="00F55024"/>
    <w:rsid w:val="00F551B9"/>
    <w:rsid w:val="00F5606E"/>
    <w:rsid w:val="00F57CD5"/>
    <w:rsid w:val="00F60A02"/>
    <w:rsid w:val="00F60B90"/>
    <w:rsid w:val="00F60FC4"/>
    <w:rsid w:val="00F6177D"/>
    <w:rsid w:val="00F63A6E"/>
    <w:rsid w:val="00F63F68"/>
    <w:rsid w:val="00F6433D"/>
    <w:rsid w:val="00F649B6"/>
    <w:rsid w:val="00F65EE0"/>
    <w:rsid w:val="00F66A90"/>
    <w:rsid w:val="00F67E3B"/>
    <w:rsid w:val="00F70769"/>
    <w:rsid w:val="00F70DF6"/>
    <w:rsid w:val="00F70E8A"/>
    <w:rsid w:val="00F714D3"/>
    <w:rsid w:val="00F71A46"/>
    <w:rsid w:val="00F72F9A"/>
    <w:rsid w:val="00F731B8"/>
    <w:rsid w:val="00F7526D"/>
    <w:rsid w:val="00F75B4A"/>
    <w:rsid w:val="00F76304"/>
    <w:rsid w:val="00F77651"/>
    <w:rsid w:val="00F8382F"/>
    <w:rsid w:val="00F844E6"/>
    <w:rsid w:val="00F8674D"/>
    <w:rsid w:val="00F8760C"/>
    <w:rsid w:val="00F87AAB"/>
    <w:rsid w:val="00F915B9"/>
    <w:rsid w:val="00F9180E"/>
    <w:rsid w:val="00F91BCF"/>
    <w:rsid w:val="00F92180"/>
    <w:rsid w:val="00F9446A"/>
    <w:rsid w:val="00F94832"/>
    <w:rsid w:val="00F96C08"/>
    <w:rsid w:val="00F9719D"/>
    <w:rsid w:val="00F97456"/>
    <w:rsid w:val="00F977AD"/>
    <w:rsid w:val="00FA389A"/>
    <w:rsid w:val="00FA4434"/>
    <w:rsid w:val="00FA5C3C"/>
    <w:rsid w:val="00FA6B07"/>
    <w:rsid w:val="00FA6D69"/>
    <w:rsid w:val="00FB0349"/>
    <w:rsid w:val="00FB05EB"/>
    <w:rsid w:val="00FB0AEB"/>
    <w:rsid w:val="00FB1CCD"/>
    <w:rsid w:val="00FB1E78"/>
    <w:rsid w:val="00FB22F3"/>
    <w:rsid w:val="00FB5400"/>
    <w:rsid w:val="00FB5B7E"/>
    <w:rsid w:val="00FB6A50"/>
    <w:rsid w:val="00FB74E6"/>
    <w:rsid w:val="00FC166E"/>
    <w:rsid w:val="00FC19ED"/>
    <w:rsid w:val="00FC23A3"/>
    <w:rsid w:val="00FC328D"/>
    <w:rsid w:val="00FC54AF"/>
    <w:rsid w:val="00FC55BB"/>
    <w:rsid w:val="00FD16F0"/>
    <w:rsid w:val="00FD306B"/>
    <w:rsid w:val="00FD3797"/>
    <w:rsid w:val="00FD3903"/>
    <w:rsid w:val="00FD397A"/>
    <w:rsid w:val="00FD4DD5"/>
    <w:rsid w:val="00FD503E"/>
    <w:rsid w:val="00FD5A49"/>
    <w:rsid w:val="00FD6C69"/>
    <w:rsid w:val="00FD6E32"/>
    <w:rsid w:val="00FD6F0A"/>
    <w:rsid w:val="00FD730D"/>
    <w:rsid w:val="00FD7C58"/>
    <w:rsid w:val="00FE1629"/>
    <w:rsid w:val="00FE199B"/>
    <w:rsid w:val="00FE3110"/>
    <w:rsid w:val="00FE351F"/>
    <w:rsid w:val="00FE4306"/>
    <w:rsid w:val="00FE490C"/>
    <w:rsid w:val="00FE4A44"/>
    <w:rsid w:val="00FE4BC6"/>
    <w:rsid w:val="00FE4D8B"/>
    <w:rsid w:val="00FE4F7A"/>
    <w:rsid w:val="00FE4F98"/>
    <w:rsid w:val="00FE7755"/>
    <w:rsid w:val="00FF0F59"/>
    <w:rsid w:val="00FF2549"/>
    <w:rsid w:val="00FF5195"/>
    <w:rsid w:val="00FF556E"/>
    <w:rsid w:val="00FF5971"/>
    <w:rsid w:val="00FF5E1E"/>
    <w:rsid w:val="00FF61DF"/>
    <w:rsid w:val="00FF643B"/>
    <w:rsid w:val="00FF7304"/>
    <w:rsid w:val="00FF7366"/>
    <w:rsid w:val="00FF7470"/>
    <w:rsid w:val="00FF7C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31716088"/>
  <w15:docId w15:val="{C9B7C240-D43D-5946-AD4E-845486180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9"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lsdException w:name="Emphasis" w:locked="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666C"/>
    <w:pPr>
      <w:spacing w:after="160"/>
    </w:pPr>
    <w:rPr>
      <w:rFonts w:ascii="Segoe UI" w:hAnsi="Segoe UI"/>
      <w:color w:val="5A5B5E"/>
      <w:sz w:val="20"/>
      <w:lang w:val="en-CA"/>
    </w:rPr>
  </w:style>
  <w:style w:type="paragraph" w:styleId="Heading1">
    <w:name w:val="heading 1"/>
    <w:basedOn w:val="Normal"/>
    <w:next w:val="Normal"/>
    <w:link w:val="Heading1Char"/>
    <w:qFormat/>
    <w:rsid w:val="009756CD"/>
    <w:pPr>
      <w:spacing w:after="120"/>
      <w:ind w:right="1872"/>
      <w:outlineLvl w:val="0"/>
    </w:pPr>
    <w:rPr>
      <w:rFonts w:ascii="Segoe UI Light" w:hAnsi="Segoe UI Light" w:cs="Segoe UI Light"/>
      <w:color w:val="5A5B5E" w:themeColor="text1"/>
      <w:sz w:val="44"/>
    </w:rPr>
  </w:style>
  <w:style w:type="paragraph" w:styleId="Heading2">
    <w:name w:val="heading 2"/>
    <w:basedOn w:val="Normal"/>
    <w:next w:val="Normal"/>
    <w:link w:val="Heading2Char"/>
    <w:qFormat/>
    <w:rsid w:val="00A9489F"/>
    <w:pPr>
      <w:keepNext/>
      <w:keepLines/>
      <w:spacing w:before="480"/>
      <w:ind w:right="-14"/>
      <w:outlineLvl w:val="1"/>
    </w:pPr>
    <w:rPr>
      <w:rFonts w:eastAsia="Times New Roman" w:cs="Segoe UI"/>
      <w:b/>
      <w:color w:val="D01A79"/>
      <w:szCs w:val="26"/>
    </w:rPr>
  </w:style>
  <w:style w:type="paragraph" w:styleId="Heading3">
    <w:name w:val="heading 3"/>
    <w:basedOn w:val="Normal"/>
    <w:next w:val="Normal"/>
    <w:link w:val="Heading3Char"/>
    <w:qFormat/>
    <w:rsid w:val="007F191D"/>
    <w:pPr>
      <w:keepNext/>
      <w:keepLines/>
      <w:spacing w:before="240" w:after="120"/>
      <w:outlineLvl w:val="2"/>
    </w:pPr>
    <w:rPr>
      <w:rFonts w:eastAsia="Times New Roman" w:cs="Segoe UI"/>
      <w:b/>
      <w:color w:val="5A5B5E" w:themeColor="text1"/>
      <w:szCs w:val="24"/>
    </w:rPr>
  </w:style>
  <w:style w:type="paragraph" w:styleId="Heading4">
    <w:name w:val="heading 4"/>
    <w:next w:val="Normal"/>
    <w:link w:val="Heading4Char"/>
    <w:qFormat/>
    <w:locked/>
    <w:rsid w:val="007F191D"/>
    <w:pPr>
      <w:keepNext/>
      <w:spacing w:before="120" w:after="120"/>
      <w:contextualSpacing/>
      <w:outlineLvl w:val="3"/>
    </w:pPr>
    <w:rPr>
      <w:rFonts w:ascii="Segoe UI" w:eastAsia="Times New Roman" w:hAnsi="Segoe UI"/>
      <w:i/>
      <w:color w:val="5A5B5E" w:themeColor="text1"/>
      <w:sz w:val="20"/>
      <w:szCs w:val="20"/>
      <w:lang w:val="en-CA"/>
    </w:rPr>
  </w:style>
  <w:style w:type="paragraph" w:styleId="Heading5">
    <w:name w:val="heading 5"/>
    <w:next w:val="Normal"/>
    <w:link w:val="Heading5Char"/>
    <w:qFormat/>
    <w:locked/>
    <w:rsid w:val="007F191D"/>
    <w:pPr>
      <w:spacing w:before="120" w:after="120"/>
      <w:contextualSpacing/>
      <w:outlineLvl w:val="4"/>
    </w:pPr>
    <w:rPr>
      <w:rFonts w:ascii="Segoe UI" w:eastAsia="Times New Roman" w:hAnsi="Segoe UI" w:cs="Arial"/>
      <w:kern w:val="18"/>
      <w:sz w:val="20"/>
      <w:u w:val="single"/>
      <w:lang w:val="en-CA"/>
    </w:rPr>
  </w:style>
  <w:style w:type="paragraph" w:styleId="Heading6">
    <w:name w:val="heading 6"/>
    <w:next w:val="Normal"/>
    <w:link w:val="Heading6Char"/>
    <w:qFormat/>
    <w:locked/>
    <w:rsid w:val="009756CD"/>
    <w:pPr>
      <w:outlineLvl w:val="5"/>
    </w:pPr>
    <w:rPr>
      <w:rFonts w:ascii="Segoe UI" w:hAnsi="Segoe UI"/>
      <w:color w:val="5A5B5E"/>
      <w:sz w:val="28"/>
      <w:szCs w:val="24"/>
      <w:lang w:val="en-CA"/>
    </w:rPr>
  </w:style>
  <w:style w:type="paragraph" w:styleId="Heading7">
    <w:name w:val="heading 7"/>
    <w:basedOn w:val="Heading1"/>
    <w:next w:val="Normal"/>
    <w:link w:val="Heading7Char"/>
    <w:qFormat/>
    <w:locked/>
    <w:rsid w:val="00B620DB"/>
    <w:pPr>
      <w:outlineLvl w:val="6"/>
    </w:pPr>
  </w:style>
  <w:style w:type="paragraph" w:styleId="Heading8">
    <w:name w:val="heading 8"/>
    <w:next w:val="Normal"/>
    <w:link w:val="Heading8Char"/>
    <w:locked/>
    <w:rsid w:val="007F191D"/>
    <w:pPr>
      <w:keepNext/>
      <w:spacing w:before="240" w:after="120"/>
      <w:contextualSpacing/>
      <w:outlineLvl w:val="7"/>
    </w:pPr>
    <w:rPr>
      <w:rFonts w:ascii="Segoe UI" w:eastAsia="Times New Roman" w:hAnsi="Segoe UI"/>
      <w:b/>
      <w:color w:val="5A5B5E" w:themeColor="text1"/>
      <w:kern w:val="18"/>
      <w:sz w:val="24"/>
      <w:szCs w:val="24"/>
      <w:lang w:val="en-CA"/>
    </w:rPr>
  </w:style>
  <w:style w:type="paragraph" w:styleId="Heading9">
    <w:name w:val="heading 9"/>
    <w:next w:val="Normal"/>
    <w:link w:val="Heading9Char"/>
    <w:locked/>
    <w:rsid w:val="007F191D"/>
    <w:pPr>
      <w:keepNext/>
      <w:spacing w:before="240" w:after="120"/>
      <w:contextualSpacing/>
      <w:outlineLvl w:val="8"/>
    </w:pPr>
    <w:rPr>
      <w:rFonts w:ascii="Segoe UI" w:eastAsia="Times New Roman" w:hAnsi="Segoe UI"/>
      <w:b/>
      <w:color w:val="5A5B5E" w:themeColor="text1"/>
      <w:kern w:val="18"/>
      <w:sz w:val="28"/>
      <w:szCs w:val="28"/>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59666C"/>
    <w:rPr>
      <w:rFonts w:ascii="Segoe UI Light" w:hAnsi="Segoe UI Light" w:cs="Segoe UI Light"/>
      <w:color w:val="5A5B5E" w:themeColor="text1"/>
      <w:sz w:val="44"/>
      <w:lang w:val="en-CA"/>
    </w:rPr>
  </w:style>
  <w:style w:type="character" w:customStyle="1" w:styleId="Heading2Char">
    <w:name w:val="Heading 2 Char"/>
    <w:basedOn w:val="DefaultParagraphFont"/>
    <w:link w:val="Heading2"/>
    <w:locked/>
    <w:rsid w:val="0059666C"/>
    <w:rPr>
      <w:rFonts w:ascii="Segoe UI" w:eastAsia="Times New Roman" w:hAnsi="Segoe UI" w:cs="Segoe UI"/>
      <w:b/>
      <w:color w:val="D01A79"/>
      <w:sz w:val="20"/>
      <w:szCs w:val="26"/>
      <w:lang w:val="en-CA"/>
    </w:rPr>
  </w:style>
  <w:style w:type="character" w:customStyle="1" w:styleId="Heading3Char">
    <w:name w:val="Heading 3 Char"/>
    <w:basedOn w:val="DefaultParagraphFont"/>
    <w:link w:val="Heading3"/>
    <w:locked/>
    <w:rsid w:val="0059666C"/>
    <w:rPr>
      <w:rFonts w:ascii="Segoe UI" w:eastAsia="Times New Roman" w:hAnsi="Segoe UI" w:cs="Segoe UI"/>
      <w:b/>
      <w:color w:val="5A5B5E" w:themeColor="text1"/>
      <w:sz w:val="20"/>
      <w:szCs w:val="24"/>
      <w:lang w:val="en-CA"/>
    </w:rPr>
  </w:style>
  <w:style w:type="character" w:styleId="IntenseEmphasis">
    <w:name w:val="Intense Emphasis"/>
    <w:basedOn w:val="DefaultParagraphFont"/>
    <w:uiPriority w:val="21"/>
    <w:rsid w:val="007F191D"/>
    <w:rPr>
      <w:rFonts w:ascii="Segoe UI" w:hAnsi="Segoe UI"/>
      <w:b/>
      <w:i/>
      <w:iCs/>
      <w:color w:val="5A5B5E" w:themeColor="text1"/>
    </w:rPr>
  </w:style>
  <w:style w:type="paragraph" w:styleId="ListParagraph">
    <w:name w:val="List Paragraph"/>
    <w:aliases w:val="Normal bullets,Dot pt,Liste 1,F5 List Paragraph,List Paragraph Char Char Char,Indicator Text,Numbered Para 1,Bullet 1,Bullet Points,List Paragraph2,MAIN CONTENT,Normal numbered,List Paragraph1,Recommendation,List Paragraph11,L,CV text"/>
    <w:basedOn w:val="Normal"/>
    <w:link w:val="ListParagraphChar"/>
    <w:uiPriority w:val="34"/>
    <w:qFormat/>
    <w:rsid w:val="009756CD"/>
    <w:pPr>
      <w:numPr>
        <w:numId w:val="2"/>
      </w:numPr>
      <w:contextualSpacing/>
    </w:pPr>
  </w:style>
  <w:style w:type="paragraph" w:customStyle="1" w:styleId="Question-AutoNumber">
    <w:name w:val="Question - Auto Number"/>
    <w:basedOn w:val="Normal"/>
    <w:uiPriority w:val="99"/>
    <w:rsid w:val="007F191D"/>
    <w:pPr>
      <w:numPr>
        <w:numId w:val="1"/>
      </w:numPr>
      <w:spacing w:after="60"/>
      <w:ind w:left="720" w:hanging="720"/>
      <w:contextualSpacing/>
    </w:pPr>
    <w:rPr>
      <w:szCs w:val="20"/>
      <w:lang w:val="en-US" w:eastAsia="en-CA"/>
    </w:rPr>
  </w:style>
  <w:style w:type="paragraph" w:customStyle="1" w:styleId="Question-ManualNumber">
    <w:name w:val="Question - Manual Number"/>
    <w:basedOn w:val="Normal"/>
    <w:uiPriority w:val="99"/>
    <w:rsid w:val="007F191D"/>
    <w:pPr>
      <w:ind w:left="720" w:hanging="720"/>
      <w:contextualSpacing/>
    </w:pPr>
    <w:rPr>
      <w:szCs w:val="20"/>
      <w:lang w:val="en-US" w:eastAsia="en-CA"/>
    </w:rPr>
  </w:style>
  <w:style w:type="paragraph" w:customStyle="1" w:styleId="PNProgrammerNotes">
    <w:name w:val="PN Programmer Notes"/>
    <w:basedOn w:val="Normal"/>
    <w:uiPriority w:val="99"/>
    <w:rsid w:val="00834127"/>
    <w:pPr>
      <w:spacing w:after="0"/>
    </w:pPr>
    <w:rPr>
      <w:caps/>
      <w:color w:val="258ABB"/>
    </w:rPr>
  </w:style>
  <w:style w:type="paragraph" w:styleId="BalloonText">
    <w:name w:val="Balloon Text"/>
    <w:basedOn w:val="Normal"/>
    <w:link w:val="BalloonTextChar"/>
    <w:uiPriority w:val="99"/>
    <w:semiHidden/>
    <w:rsid w:val="00834127"/>
    <w:pPr>
      <w:spacing w:after="0"/>
    </w:pPr>
    <w:rPr>
      <w:rFonts w:cs="Segoe UI"/>
      <w:sz w:val="18"/>
      <w:szCs w:val="18"/>
    </w:rPr>
  </w:style>
  <w:style w:type="character" w:customStyle="1" w:styleId="BalloonTextChar">
    <w:name w:val="Balloon Text Char"/>
    <w:basedOn w:val="DefaultParagraphFont"/>
    <w:link w:val="BalloonText"/>
    <w:uiPriority w:val="99"/>
    <w:semiHidden/>
    <w:locked/>
    <w:rsid w:val="00834127"/>
    <w:rPr>
      <w:rFonts w:ascii="Segoe UI" w:hAnsi="Segoe UI" w:cs="Segoe UI"/>
      <w:color w:val="5A5B5E"/>
      <w:sz w:val="18"/>
      <w:szCs w:val="18"/>
    </w:rPr>
  </w:style>
  <w:style w:type="paragraph" w:styleId="Subtitle">
    <w:name w:val="Subtitle"/>
    <w:basedOn w:val="Normal"/>
    <w:next w:val="Normal"/>
    <w:link w:val="SubtitleChar"/>
    <w:uiPriority w:val="99"/>
    <w:rsid w:val="00075612"/>
    <w:pPr>
      <w:numPr>
        <w:ilvl w:val="1"/>
      </w:numPr>
    </w:pPr>
    <w:rPr>
      <w:rFonts w:eastAsia="Times New Roman"/>
      <w:color w:val="939497"/>
      <w:spacing w:val="15"/>
      <w:lang w:val="en-US"/>
    </w:rPr>
  </w:style>
  <w:style w:type="character" w:customStyle="1" w:styleId="SubtitleChar">
    <w:name w:val="Subtitle Char"/>
    <w:basedOn w:val="DefaultParagraphFont"/>
    <w:link w:val="Subtitle"/>
    <w:uiPriority w:val="99"/>
    <w:locked/>
    <w:rsid w:val="00075612"/>
    <w:rPr>
      <w:rFonts w:eastAsia="Times New Roman" w:cs="Times New Roman"/>
      <w:color w:val="939497"/>
      <w:spacing w:val="15"/>
      <w:lang w:val="en-US"/>
    </w:rPr>
  </w:style>
  <w:style w:type="paragraph" w:styleId="TOC1">
    <w:name w:val="toc 1"/>
    <w:basedOn w:val="Normal"/>
    <w:next w:val="Normal"/>
    <w:autoRedefine/>
    <w:uiPriority w:val="39"/>
    <w:rsid w:val="0077172A"/>
    <w:pPr>
      <w:tabs>
        <w:tab w:val="right" w:leader="dot" w:pos="9062"/>
      </w:tabs>
      <w:spacing w:before="360" w:after="120"/>
    </w:pPr>
    <w:rPr>
      <w:b/>
      <w:sz w:val="22"/>
    </w:rPr>
  </w:style>
  <w:style w:type="paragraph" w:styleId="TOC2">
    <w:name w:val="toc 2"/>
    <w:basedOn w:val="Normal"/>
    <w:next w:val="Normal"/>
    <w:autoRedefine/>
    <w:uiPriority w:val="39"/>
    <w:rsid w:val="006C13B6"/>
    <w:pPr>
      <w:tabs>
        <w:tab w:val="right" w:leader="dot" w:pos="9062"/>
      </w:tabs>
      <w:spacing w:before="120" w:after="0"/>
      <w:ind w:left="360" w:right="720" w:hanging="360"/>
    </w:pPr>
    <w:rPr>
      <w:noProof/>
    </w:rPr>
  </w:style>
  <w:style w:type="paragraph" w:customStyle="1" w:styleId="SectionDivider">
    <w:name w:val="Section Divider"/>
    <w:basedOn w:val="Normal"/>
    <w:uiPriority w:val="99"/>
    <w:qFormat/>
    <w:rsid w:val="00A30592"/>
    <w:pPr>
      <w:spacing w:before="4000" w:after="240"/>
    </w:pPr>
    <w:rPr>
      <w:rFonts w:ascii="Segoe UI Light" w:hAnsi="Segoe UI Light" w:cs="Calibri Light"/>
      <w:color w:val="267F9A"/>
      <w:sz w:val="56"/>
    </w:rPr>
  </w:style>
  <w:style w:type="paragraph" w:styleId="TOC3">
    <w:name w:val="toc 3"/>
    <w:basedOn w:val="Normal"/>
    <w:next w:val="Normal"/>
    <w:autoRedefine/>
    <w:uiPriority w:val="39"/>
    <w:rsid w:val="006C3738"/>
    <w:pPr>
      <w:tabs>
        <w:tab w:val="right" w:leader="dot" w:pos="9062"/>
      </w:tabs>
      <w:spacing w:after="0"/>
      <w:ind w:left="1152" w:right="720" w:hanging="432"/>
    </w:pPr>
    <w:rPr>
      <w:noProof/>
      <w:sz w:val="18"/>
    </w:rPr>
  </w:style>
  <w:style w:type="paragraph" w:styleId="TOC4">
    <w:name w:val="toc 4"/>
    <w:basedOn w:val="Normal"/>
    <w:next w:val="Normal"/>
    <w:autoRedefine/>
    <w:uiPriority w:val="39"/>
    <w:rsid w:val="00E03AE6"/>
    <w:pPr>
      <w:tabs>
        <w:tab w:val="right" w:leader="dot" w:pos="9062"/>
      </w:tabs>
      <w:spacing w:after="100"/>
      <w:ind w:left="900"/>
    </w:pPr>
    <w:rPr>
      <w:noProof/>
      <w:sz w:val="18"/>
    </w:rPr>
  </w:style>
  <w:style w:type="table" w:customStyle="1" w:styleId="TableGrid2">
    <w:name w:val="Table Grid2"/>
    <w:uiPriority w:val="59"/>
    <w:rsid w:val="00AB390A"/>
    <w:rPr>
      <w:rFonts w:ascii="Times New Roman" w:eastAsia="Times New Roman" w:hAnsi="Times New Roman"/>
      <w:sz w:val="20"/>
      <w:szCs w:val="20"/>
      <w:lang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rsid w:val="00AB390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5946F0"/>
    <w:rPr>
      <w:rFonts w:cs="Times New Roman"/>
      <w:sz w:val="16"/>
      <w:szCs w:val="16"/>
    </w:rPr>
  </w:style>
  <w:style w:type="paragraph" w:styleId="CommentSubject">
    <w:name w:val="annotation subject"/>
    <w:basedOn w:val="Normal"/>
    <w:next w:val="Normal"/>
    <w:link w:val="CommentSubjectChar"/>
    <w:uiPriority w:val="99"/>
    <w:semiHidden/>
    <w:rsid w:val="007F191D"/>
    <w:rPr>
      <w:b/>
      <w:bCs/>
      <w:szCs w:val="20"/>
    </w:rPr>
  </w:style>
  <w:style w:type="character" w:customStyle="1" w:styleId="CommentSubjectChar">
    <w:name w:val="Comment Subject Char"/>
    <w:basedOn w:val="DefaultParagraphFont"/>
    <w:link w:val="CommentSubject"/>
    <w:uiPriority w:val="99"/>
    <w:semiHidden/>
    <w:locked/>
    <w:rsid w:val="007F191D"/>
    <w:rPr>
      <w:rFonts w:ascii="Segoe UI" w:hAnsi="Segoe UI" w:cs="Times New Roman"/>
      <w:b/>
      <w:bCs/>
      <w:color w:val="5A5B5E"/>
      <w:sz w:val="20"/>
      <w:szCs w:val="20"/>
      <w:lang w:val="en-US"/>
    </w:rPr>
  </w:style>
  <w:style w:type="character" w:customStyle="1" w:styleId="UnresolvedMention1">
    <w:name w:val="Unresolved Mention1"/>
    <w:basedOn w:val="DefaultParagraphFont"/>
    <w:uiPriority w:val="99"/>
    <w:semiHidden/>
    <w:rsid w:val="00E32F10"/>
    <w:rPr>
      <w:rFonts w:cs="Times New Roman"/>
      <w:color w:val="605E5C"/>
      <w:shd w:val="clear" w:color="auto" w:fill="E1DFDD"/>
    </w:rPr>
  </w:style>
  <w:style w:type="paragraph" w:customStyle="1" w:styleId="Callout">
    <w:name w:val="Callout"/>
    <w:basedOn w:val="Normal"/>
    <w:uiPriority w:val="99"/>
    <w:rsid w:val="00E32F10"/>
    <w:pPr>
      <w:pBdr>
        <w:left w:val="single" w:sz="4" w:space="4" w:color="auto"/>
      </w:pBdr>
      <w:ind w:left="720"/>
    </w:pPr>
    <w:rPr>
      <w:b/>
      <w:sz w:val="18"/>
    </w:rPr>
  </w:style>
  <w:style w:type="paragraph" w:styleId="Revision">
    <w:name w:val="Revision"/>
    <w:hidden/>
    <w:uiPriority w:val="99"/>
    <w:semiHidden/>
    <w:rsid w:val="00F96C08"/>
    <w:rPr>
      <w:rFonts w:ascii="Segoe UI" w:hAnsi="Segoe UI"/>
      <w:color w:val="5A5B5E"/>
      <w:sz w:val="20"/>
      <w:lang w:val="en-CA"/>
    </w:rPr>
  </w:style>
  <w:style w:type="table" w:customStyle="1" w:styleId="TableGrid1">
    <w:name w:val="Table Grid1"/>
    <w:uiPriority w:val="99"/>
    <w:rsid w:val="00086FCB"/>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1">
    <w:name w:val="Table Grid21"/>
    <w:uiPriority w:val="59"/>
    <w:rsid w:val="00086FCB"/>
    <w:rPr>
      <w:rFonts w:ascii="Times New Roman" w:eastAsia="Times New Roman" w:hAnsi="Times New Roman"/>
      <w:sz w:val="20"/>
      <w:szCs w:val="20"/>
      <w:lang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uiPriority w:val="99"/>
    <w:rsid w:val="00086FCB"/>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
    <w:name w:val="Table Grid4"/>
    <w:uiPriority w:val="99"/>
    <w:rsid w:val="007B10B8"/>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5">
    <w:name w:val="Table Grid5"/>
    <w:uiPriority w:val="99"/>
    <w:rsid w:val="007B10B8"/>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EndnoteText">
    <w:name w:val="endnote text"/>
    <w:basedOn w:val="Normal"/>
    <w:link w:val="EndnoteTextChar"/>
    <w:uiPriority w:val="99"/>
    <w:semiHidden/>
    <w:rsid w:val="00E45C26"/>
    <w:pPr>
      <w:spacing w:after="0"/>
    </w:pPr>
    <w:rPr>
      <w:szCs w:val="20"/>
    </w:rPr>
  </w:style>
  <w:style w:type="character" w:customStyle="1" w:styleId="EndnoteTextChar">
    <w:name w:val="Endnote Text Char"/>
    <w:basedOn w:val="DefaultParagraphFont"/>
    <w:link w:val="EndnoteText"/>
    <w:uiPriority w:val="99"/>
    <w:semiHidden/>
    <w:locked/>
    <w:rsid w:val="00E45C26"/>
    <w:rPr>
      <w:rFonts w:ascii="Segoe UI" w:hAnsi="Segoe UI" w:cs="Times New Roman"/>
      <w:color w:val="5A5B5E"/>
      <w:sz w:val="20"/>
      <w:szCs w:val="20"/>
    </w:rPr>
  </w:style>
  <w:style w:type="character" w:styleId="EndnoteReference">
    <w:name w:val="endnote reference"/>
    <w:basedOn w:val="DefaultParagraphFont"/>
    <w:uiPriority w:val="99"/>
    <w:semiHidden/>
    <w:rsid w:val="00E45C26"/>
    <w:rPr>
      <w:rFonts w:cs="Times New Roman"/>
      <w:vertAlign w:val="superscript"/>
    </w:rPr>
  </w:style>
  <w:style w:type="paragraph" w:styleId="FootnoteText">
    <w:name w:val="footnote text"/>
    <w:basedOn w:val="Normal"/>
    <w:link w:val="FootnoteTextChar"/>
    <w:uiPriority w:val="99"/>
    <w:semiHidden/>
    <w:rsid w:val="00E45C26"/>
    <w:pPr>
      <w:spacing w:after="0"/>
    </w:pPr>
    <w:rPr>
      <w:szCs w:val="20"/>
    </w:rPr>
  </w:style>
  <w:style w:type="character" w:customStyle="1" w:styleId="FootnoteTextChar">
    <w:name w:val="Footnote Text Char"/>
    <w:basedOn w:val="DefaultParagraphFont"/>
    <w:link w:val="FootnoteText"/>
    <w:uiPriority w:val="99"/>
    <w:semiHidden/>
    <w:locked/>
    <w:rsid w:val="00E45C26"/>
    <w:rPr>
      <w:rFonts w:ascii="Segoe UI" w:hAnsi="Segoe UI" w:cs="Times New Roman"/>
      <w:color w:val="5A5B5E"/>
      <w:sz w:val="20"/>
      <w:szCs w:val="20"/>
    </w:rPr>
  </w:style>
  <w:style w:type="character" w:styleId="FootnoteReference">
    <w:name w:val="footnote reference"/>
    <w:basedOn w:val="DefaultParagraphFont"/>
    <w:uiPriority w:val="99"/>
    <w:semiHidden/>
    <w:rsid w:val="00E45C26"/>
    <w:rPr>
      <w:rFonts w:cs="Times New Roman"/>
      <w:vertAlign w:val="superscript"/>
    </w:rPr>
  </w:style>
  <w:style w:type="table" w:customStyle="1" w:styleId="TableGrid6">
    <w:name w:val="Table Grid6"/>
    <w:uiPriority w:val="99"/>
    <w:rsid w:val="006624BA"/>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7">
    <w:name w:val="Table Grid7"/>
    <w:uiPriority w:val="99"/>
    <w:rsid w:val="006624BA"/>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TMLPreformatted">
    <w:name w:val="HTML Preformatted"/>
    <w:basedOn w:val="Normal"/>
    <w:link w:val="HTMLPreformattedChar"/>
    <w:uiPriority w:val="99"/>
    <w:semiHidden/>
    <w:rsid w:val="006333A5"/>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locked/>
    <w:rsid w:val="006333A5"/>
    <w:rPr>
      <w:rFonts w:ascii="Consolas" w:hAnsi="Consolas" w:cs="Times New Roman"/>
      <w:color w:val="5A5B5E"/>
      <w:sz w:val="20"/>
      <w:szCs w:val="20"/>
    </w:rPr>
  </w:style>
  <w:style w:type="character" w:customStyle="1" w:styleId="UnresolvedMention2">
    <w:name w:val="Unresolved Mention2"/>
    <w:basedOn w:val="DefaultParagraphFont"/>
    <w:uiPriority w:val="99"/>
    <w:semiHidden/>
    <w:unhideWhenUsed/>
    <w:rsid w:val="00054FAC"/>
    <w:rPr>
      <w:color w:val="605E5C"/>
      <w:shd w:val="clear" w:color="auto" w:fill="E1DFDD"/>
    </w:rPr>
  </w:style>
  <w:style w:type="table" w:customStyle="1" w:styleId="TableGrid22">
    <w:name w:val="Table Grid22"/>
    <w:basedOn w:val="TableNormal"/>
    <w:next w:val="TableGrid"/>
    <w:uiPriority w:val="59"/>
    <w:rsid w:val="00065635"/>
    <w:rPr>
      <w:rFonts w:ascii="Times New Roman" w:eastAsia="Times New Roman" w:hAnsi="Times New Roman"/>
      <w:sz w:val="20"/>
      <w:szCs w:val="20"/>
      <w:lang w:val="en-CA"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rsid w:val="0059666C"/>
    <w:rPr>
      <w:rFonts w:ascii="Segoe UI" w:eastAsia="Times New Roman" w:hAnsi="Segoe UI"/>
      <w:i/>
      <w:color w:val="5A5B5E" w:themeColor="text1"/>
      <w:sz w:val="20"/>
      <w:szCs w:val="20"/>
      <w:lang w:val="en-CA"/>
    </w:rPr>
  </w:style>
  <w:style w:type="character" w:customStyle="1" w:styleId="Heading5Char">
    <w:name w:val="Heading 5 Char"/>
    <w:basedOn w:val="DefaultParagraphFont"/>
    <w:link w:val="Heading5"/>
    <w:rsid w:val="0059666C"/>
    <w:rPr>
      <w:rFonts w:ascii="Segoe UI" w:eastAsia="Times New Roman" w:hAnsi="Segoe UI" w:cs="Arial"/>
      <w:kern w:val="18"/>
      <w:sz w:val="20"/>
      <w:u w:val="single"/>
      <w:lang w:val="en-CA"/>
    </w:rPr>
  </w:style>
  <w:style w:type="character" w:customStyle="1" w:styleId="Heading6Char">
    <w:name w:val="Heading 6 Char"/>
    <w:basedOn w:val="DefaultParagraphFont"/>
    <w:link w:val="Heading6"/>
    <w:rsid w:val="0059666C"/>
    <w:rPr>
      <w:rFonts w:ascii="Segoe UI" w:hAnsi="Segoe UI"/>
      <w:color w:val="5A5B5E"/>
      <w:sz w:val="28"/>
      <w:szCs w:val="24"/>
      <w:lang w:val="en-CA"/>
    </w:rPr>
  </w:style>
  <w:style w:type="character" w:customStyle="1" w:styleId="Heading7Char">
    <w:name w:val="Heading 7 Char"/>
    <w:basedOn w:val="DefaultParagraphFont"/>
    <w:link w:val="Heading7"/>
    <w:rsid w:val="00B620DB"/>
    <w:rPr>
      <w:rFonts w:ascii="Segoe UI Light" w:hAnsi="Segoe UI Light" w:cs="Segoe UI Light"/>
      <w:color w:val="5A5B5E" w:themeColor="text1"/>
      <w:sz w:val="44"/>
      <w:lang w:val="en-CA"/>
    </w:rPr>
  </w:style>
  <w:style w:type="character" w:customStyle="1" w:styleId="Heading8Char">
    <w:name w:val="Heading 8 Char"/>
    <w:basedOn w:val="DefaultParagraphFont"/>
    <w:link w:val="Heading8"/>
    <w:rsid w:val="007F191D"/>
    <w:rPr>
      <w:rFonts w:ascii="Segoe UI" w:eastAsia="Times New Roman" w:hAnsi="Segoe UI"/>
      <w:b/>
      <w:color w:val="5A5B5E" w:themeColor="text1"/>
      <w:kern w:val="18"/>
      <w:sz w:val="24"/>
      <w:szCs w:val="24"/>
      <w:lang w:val="en-CA"/>
    </w:rPr>
  </w:style>
  <w:style w:type="character" w:customStyle="1" w:styleId="Heading9Char">
    <w:name w:val="Heading 9 Char"/>
    <w:basedOn w:val="DefaultParagraphFont"/>
    <w:link w:val="Heading9"/>
    <w:rsid w:val="007F191D"/>
    <w:rPr>
      <w:rFonts w:ascii="Segoe UI" w:eastAsia="Times New Roman" w:hAnsi="Segoe UI"/>
      <w:b/>
      <w:color w:val="5A5B5E" w:themeColor="text1"/>
      <w:kern w:val="18"/>
      <w:sz w:val="28"/>
      <w:szCs w:val="28"/>
      <w:lang w:val="en-CA"/>
    </w:rPr>
  </w:style>
  <w:style w:type="table" w:customStyle="1" w:styleId="TableGrid8">
    <w:name w:val="Table Grid8"/>
    <w:basedOn w:val="TableNormal"/>
    <w:next w:val="TableGrid"/>
    <w:uiPriority w:val="39"/>
    <w:rsid w:val="00B60E54"/>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9">
    <w:name w:val="Table Grid9"/>
    <w:basedOn w:val="TableNormal"/>
    <w:next w:val="TableGrid"/>
    <w:uiPriority w:val="39"/>
    <w:rsid w:val="00B60E54"/>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84186B"/>
  </w:style>
  <w:style w:type="character" w:customStyle="1" w:styleId="BodyTextChar1">
    <w:name w:val="Body Text Char1"/>
    <w:basedOn w:val="DefaultParagraphFont"/>
    <w:uiPriority w:val="99"/>
    <w:semiHidden/>
    <w:rsid w:val="0084186B"/>
    <w:rPr>
      <w:rFonts w:ascii="Times New Roman" w:eastAsia="Times New Roman" w:hAnsi="Times New Roman" w:cs="Times New Roman"/>
      <w:sz w:val="20"/>
      <w:szCs w:val="20"/>
      <w:lang w:val="en-CA"/>
    </w:rPr>
  </w:style>
  <w:style w:type="character" w:customStyle="1" w:styleId="BodyTextChar2">
    <w:name w:val="Body Text Char2"/>
    <w:basedOn w:val="DefaultParagraphFont"/>
    <w:uiPriority w:val="99"/>
    <w:semiHidden/>
    <w:rsid w:val="0084186B"/>
    <w:rPr>
      <w:rFonts w:ascii="Segoe UI" w:hAnsi="Segoe UI"/>
      <w:color w:val="5A5B5E"/>
      <w:sz w:val="20"/>
      <w:lang w:val="en-CA"/>
    </w:rPr>
  </w:style>
  <w:style w:type="character" w:styleId="FollowedHyperlink">
    <w:name w:val="FollowedHyperlink"/>
    <w:basedOn w:val="DefaultParagraphFont"/>
    <w:uiPriority w:val="99"/>
    <w:semiHidden/>
    <w:unhideWhenUsed/>
    <w:rsid w:val="004B05CA"/>
    <w:rPr>
      <w:color w:val="948EBD" w:themeColor="followedHyperlink"/>
      <w:u w:val="single"/>
    </w:rPr>
  </w:style>
  <w:style w:type="table" w:customStyle="1" w:styleId="TableGrid23">
    <w:name w:val="Table Grid23"/>
    <w:basedOn w:val="TableNormal"/>
    <w:next w:val="TableGrid"/>
    <w:uiPriority w:val="59"/>
    <w:rsid w:val="00D56C74"/>
    <w:rPr>
      <w:rFonts w:ascii="Times New Roman" w:eastAsia="Times New Roman" w:hAnsi="Times New Roman"/>
      <w:sz w:val="20"/>
      <w:szCs w:val="20"/>
      <w:lang w:val="en-CA"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171AC6"/>
  </w:style>
  <w:style w:type="table" w:customStyle="1" w:styleId="TableGrid10">
    <w:name w:val="Table Grid10"/>
    <w:basedOn w:val="TableNormal"/>
    <w:next w:val="TableGrid"/>
    <w:uiPriority w:val="39"/>
    <w:rsid w:val="0057612C"/>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
    <w:name w:val="Table Grid11"/>
    <w:basedOn w:val="TableNormal"/>
    <w:next w:val="TableGrid"/>
    <w:uiPriority w:val="39"/>
    <w:rsid w:val="003C103C"/>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2">
    <w:name w:val="Table Grid12"/>
    <w:basedOn w:val="TableNormal"/>
    <w:next w:val="TableGrid"/>
    <w:uiPriority w:val="39"/>
    <w:rsid w:val="00545767"/>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3">
    <w:name w:val="Table Grid13"/>
    <w:basedOn w:val="TableNormal"/>
    <w:next w:val="TableGrid"/>
    <w:uiPriority w:val="39"/>
    <w:rsid w:val="00545767"/>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D84C3A"/>
  </w:style>
  <w:style w:type="character" w:styleId="SubtleEmphasis">
    <w:name w:val="Subtle Emphasis"/>
    <w:basedOn w:val="DefaultParagraphFont"/>
    <w:uiPriority w:val="19"/>
    <w:rsid w:val="00DB0A64"/>
    <w:rPr>
      <w:i/>
      <w:iCs/>
      <w:color w:val="828387" w:themeColor="text1" w:themeTint="BF"/>
    </w:rPr>
  </w:style>
  <w:style w:type="table" w:customStyle="1" w:styleId="TableGrid14">
    <w:name w:val="Table Grid14"/>
    <w:basedOn w:val="TableNormal"/>
    <w:next w:val="TableGrid"/>
    <w:uiPriority w:val="39"/>
    <w:rsid w:val="00834C81"/>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5">
    <w:name w:val="Table Grid15"/>
    <w:basedOn w:val="TableNormal"/>
    <w:next w:val="TableGrid"/>
    <w:uiPriority w:val="39"/>
    <w:rsid w:val="00625483"/>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6">
    <w:name w:val="Table Grid16"/>
    <w:basedOn w:val="TableNormal"/>
    <w:next w:val="TableGrid"/>
    <w:uiPriority w:val="39"/>
    <w:rsid w:val="000734B3"/>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7">
    <w:name w:val="Table Grid17"/>
    <w:basedOn w:val="TableNormal"/>
    <w:next w:val="TableGrid"/>
    <w:uiPriority w:val="39"/>
    <w:rsid w:val="00DA5AD3"/>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905C87"/>
  </w:style>
  <w:style w:type="character" w:customStyle="1" w:styleId="BodyTextChar">
    <w:name w:val="Body Text Char"/>
    <w:basedOn w:val="DefaultParagraphFont"/>
    <w:link w:val="BodyText"/>
    <w:locked/>
    <w:rsid w:val="00905C87"/>
    <w:rPr>
      <w:rFonts w:ascii="Arial" w:hAnsi="Arial" w:cs="Arial"/>
      <w:i/>
      <w:iCs/>
      <w:color w:val="333333"/>
    </w:rPr>
  </w:style>
  <w:style w:type="paragraph" w:styleId="BodyText">
    <w:name w:val="Body Text"/>
    <w:basedOn w:val="Normal"/>
    <w:link w:val="BodyTextChar"/>
    <w:semiHidden/>
    <w:unhideWhenUsed/>
    <w:rsid w:val="00905C87"/>
    <w:pPr>
      <w:spacing w:after="120"/>
    </w:pPr>
    <w:rPr>
      <w:rFonts w:ascii="Arial" w:hAnsi="Arial" w:cs="Arial"/>
      <w:i/>
      <w:iCs/>
      <w:color w:val="333333"/>
      <w:sz w:val="22"/>
      <w:lang w:val="en-US"/>
    </w:rPr>
  </w:style>
  <w:style w:type="character" w:customStyle="1" w:styleId="BodyTextChar3">
    <w:name w:val="Body Text Char3"/>
    <w:basedOn w:val="DefaultParagraphFont"/>
    <w:semiHidden/>
    <w:rsid w:val="00905C87"/>
    <w:rPr>
      <w:rFonts w:ascii="Segoe UI" w:hAnsi="Segoe UI"/>
      <w:color w:val="5A5B5E"/>
      <w:sz w:val="20"/>
      <w:lang w:val="en-CA"/>
    </w:rPr>
  </w:style>
  <w:style w:type="table" w:customStyle="1" w:styleId="TableGrid18">
    <w:name w:val="Table Grid18"/>
    <w:basedOn w:val="TableNormal"/>
    <w:next w:val="TableGrid"/>
    <w:uiPriority w:val="39"/>
    <w:rsid w:val="00492D05"/>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9">
    <w:name w:val="Table Grid19"/>
    <w:basedOn w:val="TableNormal"/>
    <w:next w:val="TableGrid"/>
    <w:uiPriority w:val="39"/>
    <w:rsid w:val="00492D05"/>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
    <w:name w:val="Table Grid20"/>
    <w:basedOn w:val="TableNormal"/>
    <w:next w:val="TableGrid"/>
    <w:uiPriority w:val="39"/>
    <w:rsid w:val="00F32398"/>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4">
    <w:name w:val="Table Grid24"/>
    <w:basedOn w:val="TableNormal"/>
    <w:next w:val="TableGrid"/>
    <w:uiPriority w:val="39"/>
    <w:rsid w:val="00F32398"/>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5">
    <w:name w:val="Table Grid25"/>
    <w:basedOn w:val="TableNormal"/>
    <w:next w:val="TableGrid"/>
    <w:uiPriority w:val="39"/>
    <w:rsid w:val="0012477E"/>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11">
    <w:name w:val="Table Grid211"/>
    <w:basedOn w:val="TableNormal"/>
    <w:next w:val="TableGrid"/>
    <w:uiPriority w:val="59"/>
    <w:rsid w:val="0012477E"/>
    <w:rPr>
      <w:rFonts w:ascii="Times New Roman" w:eastAsia="Times New Roman" w:hAnsi="Times New Roman"/>
      <w:sz w:val="20"/>
      <w:szCs w:val="20"/>
      <w:lang w:val="en-CA"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
    <w:name w:val="Table Grid26"/>
    <w:basedOn w:val="TableNormal"/>
    <w:next w:val="TableGrid"/>
    <w:uiPriority w:val="39"/>
    <w:rsid w:val="0012477E"/>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12">
    <w:name w:val="Table Grid212"/>
    <w:basedOn w:val="TableNormal"/>
    <w:next w:val="TableGrid"/>
    <w:uiPriority w:val="59"/>
    <w:rsid w:val="0012477E"/>
    <w:rPr>
      <w:rFonts w:ascii="Times New Roman" w:eastAsia="Times New Roman" w:hAnsi="Times New Roman"/>
      <w:sz w:val="20"/>
      <w:szCs w:val="20"/>
      <w:lang w:val="en-CA"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7">
    <w:name w:val="Table Grid27"/>
    <w:basedOn w:val="TableNormal"/>
    <w:next w:val="TableGrid"/>
    <w:uiPriority w:val="59"/>
    <w:rsid w:val="00B47FBC"/>
    <w:rPr>
      <w:rFonts w:ascii="Times New Roman" w:eastAsia="Times New Roman" w:hAnsi="Times New Roman"/>
      <w:sz w:val="20"/>
      <w:szCs w:val="20"/>
      <w:lang w:val="en-CA"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8">
    <w:name w:val="Table Grid28"/>
    <w:basedOn w:val="TableNormal"/>
    <w:next w:val="TableGrid"/>
    <w:uiPriority w:val="39"/>
    <w:rsid w:val="00E62577"/>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13">
    <w:name w:val="Table Grid213"/>
    <w:basedOn w:val="TableNormal"/>
    <w:next w:val="TableGrid"/>
    <w:uiPriority w:val="59"/>
    <w:rsid w:val="00E62577"/>
    <w:rPr>
      <w:rFonts w:ascii="Times New Roman" w:eastAsia="Times New Roman" w:hAnsi="Times New Roman"/>
      <w:sz w:val="20"/>
      <w:szCs w:val="20"/>
      <w:lang w:val="en-CA"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9">
    <w:name w:val="Table Grid29"/>
    <w:basedOn w:val="TableNormal"/>
    <w:next w:val="TableGrid"/>
    <w:uiPriority w:val="39"/>
    <w:rsid w:val="00E62577"/>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14">
    <w:name w:val="Table Grid214"/>
    <w:basedOn w:val="TableNormal"/>
    <w:next w:val="TableGrid"/>
    <w:uiPriority w:val="59"/>
    <w:rsid w:val="00E62577"/>
    <w:rPr>
      <w:rFonts w:ascii="Times New Roman" w:eastAsia="Times New Roman" w:hAnsi="Times New Roman"/>
      <w:sz w:val="20"/>
      <w:szCs w:val="20"/>
      <w:lang w:val="en-CA"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locked/>
    <w:rsid w:val="000574CD"/>
    <w:rPr>
      <w:i/>
      <w:iCs/>
    </w:rPr>
  </w:style>
  <w:style w:type="table" w:customStyle="1" w:styleId="TableGrid30">
    <w:name w:val="Table Grid30"/>
    <w:basedOn w:val="TableNormal"/>
    <w:next w:val="TableGrid"/>
    <w:uiPriority w:val="39"/>
    <w:rsid w:val="00D26AC8"/>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15">
    <w:name w:val="Table Grid215"/>
    <w:basedOn w:val="TableNormal"/>
    <w:next w:val="TableGrid"/>
    <w:uiPriority w:val="59"/>
    <w:rsid w:val="00D26AC8"/>
    <w:rPr>
      <w:rFonts w:ascii="Times New Roman" w:eastAsia="Times New Roman" w:hAnsi="Times New Roman"/>
      <w:sz w:val="20"/>
      <w:szCs w:val="20"/>
      <w:lang w:val="en-CA"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next w:val="TableGrid"/>
    <w:uiPriority w:val="39"/>
    <w:rsid w:val="000F7FD6"/>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16">
    <w:name w:val="Table Grid216"/>
    <w:basedOn w:val="TableNormal"/>
    <w:next w:val="TableGrid"/>
    <w:uiPriority w:val="59"/>
    <w:rsid w:val="000F7FD6"/>
    <w:rPr>
      <w:rFonts w:ascii="Times New Roman" w:eastAsia="Times New Roman" w:hAnsi="Times New Roman"/>
      <w:sz w:val="20"/>
      <w:szCs w:val="20"/>
      <w:lang w:val="en-CA"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
    <w:name w:val="Table Grid32"/>
    <w:basedOn w:val="TableNormal"/>
    <w:next w:val="TableGrid"/>
    <w:uiPriority w:val="39"/>
    <w:rsid w:val="005F2656"/>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0">
    <w:name w:val="Table Grid110"/>
    <w:basedOn w:val="TableNormal"/>
    <w:next w:val="TableGrid"/>
    <w:uiPriority w:val="39"/>
    <w:rsid w:val="005F26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
    <w:name w:val="Table Grid33"/>
    <w:basedOn w:val="TableNormal"/>
    <w:next w:val="TableGrid"/>
    <w:uiPriority w:val="39"/>
    <w:rsid w:val="005F2656"/>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5">
    <w:name w:val="No List5"/>
    <w:next w:val="NoList"/>
    <w:uiPriority w:val="99"/>
    <w:semiHidden/>
    <w:unhideWhenUsed/>
    <w:rsid w:val="005F2656"/>
  </w:style>
  <w:style w:type="table" w:customStyle="1" w:styleId="TableGrid210">
    <w:name w:val="Table Grid210"/>
    <w:basedOn w:val="TableNormal"/>
    <w:next w:val="TableGrid"/>
    <w:uiPriority w:val="59"/>
    <w:rsid w:val="00B3065B"/>
    <w:rPr>
      <w:rFonts w:ascii="Times New Roman" w:eastAsia="Times New Roman" w:hAnsi="Times New Roman"/>
      <w:sz w:val="20"/>
      <w:szCs w:val="20"/>
      <w:lang w:val="en-CA"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4">
    <w:name w:val="Table Grid34"/>
    <w:basedOn w:val="TableNormal"/>
    <w:next w:val="TableGrid"/>
    <w:uiPriority w:val="39"/>
    <w:rsid w:val="007708FA"/>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1">
    <w:name w:val="Table Grid111"/>
    <w:basedOn w:val="TableNormal"/>
    <w:next w:val="TableGrid"/>
    <w:uiPriority w:val="39"/>
    <w:rsid w:val="007708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5">
    <w:name w:val="Table Grid35"/>
    <w:basedOn w:val="TableNormal"/>
    <w:next w:val="TableGrid"/>
    <w:uiPriority w:val="39"/>
    <w:rsid w:val="007708FA"/>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rsid w:val="002B5D50"/>
    <w:rPr>
      <w:rFonts w:cs="Times New Roman"/>
      <w:color w:val="524A84"/>
      <w:u w:val="single"/>
    </w:rPr>
  </w:style>
  <w:style w:type="character" w:customStyle="1" w:styleId="ListParagraphChar">
    <w:name w:val="List Paragraph Char"/>
    <w:aliases w:val="Normal bullets Char,Dot pt Char,Liste 1 Char,F5 List Paragraph Char,List Paragraph Char Char Char Char,Indicator Text Char,Numbered Para 1 Char,Bullet 1 Char,Bullet Points Char,List Paragraph2 Char,MAIN CONTENT Char,L Char"/>
    <w:link w:val="ListParagraph"/>
    <w:uiPriority w:val="34"/>
    <w:locked/>
    <w:rsid w:val="002B5D50"/>
    <w:rPr>
      <w:rFonts w:ascii="Segoe UI" w:hAnsi="Segoe UI"/>
      <w:color w:val="5A5B5E"/>
      <w:sz w:val="20"/>
      <w:lang w:val="en-CA"/>
    </w:rPr>
  </w:style>
  <w:style w:type="paragraph" w:styleId="Header">
    <w:name w:val="header"/>
    <w:basedOn w:val="Normal"/>
    <w:link w:val="HeaderChar"/>
    <w:locked/>
    <w:rsid w:val="002B5D50"/>
    <w:pPr>
      <w:tabs>
        <w:tab w:val="center" w:pos="4680"/>
        <w:tab w:val="right" w:pos="9360"/>
      </w:tabs>
      <w:spacing w:after="0"/>
    </w:pPr>
  </w:style>
  <w:style w:type="character" w:customStyle="1" w:styleId="HeaderChar">
    <w:name w:val="Header Char"/>
    <w:basedOn w:val="DefaultParagraphFont"/>
    <w:link w:val="Header"/>
    <w:rsid w:val="002B5D50"/>
    <w:rPr>
      <w:rFonts w:ascii="Segoe UI" w:hAnsi="Segoe UI"/>
      <w:color w:val="5A5B5E"/>
      <w:sz w:val="20"/>
      <w:lang w:val="en-CA"/>
    </w:rPr>
  </w:style>
  <w:style w:type="paragraph" w:styleId="Footer">
    <w:name w:val="footer"/>
    <w:basedOn w:val="Normal"/>
    <w:link w:val="FooterChar"/>
    <w:uiPriority w:val="99"/>
    <w:unhideWhenUsed/>
    <w:rsid w:val="002B5D50"/>
    <w:pPr>
      <w:tabs>
        <w:tab w:val="center" w:pos="4680"/>
        <w:tab w:val="right" w:pos="9360"/>
      </w:tabs>
      <w:spacing w:after="0"/>
    </w:pPr>
  </w:style>
  <w:style w:type="character" w:customStyle="1" w:styleId="FooterChar">
    <w:name w:val="Footer Char"/>
    <w:basedOn w:val="DefaultParagraphFont"/>
    <w:link w:val="Footer"/>
    <w:uiPriority w:val="99"/>
    <w:rsid w:val="002B5D50"/>
    <w:rPr>
      <w:rFonts w:ascii="Segoe UI" w:hAnsi="Segoe UI"/>
      <w:color w:val="5A5B5E"/>
      <w:sz w:val="2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2065138">
      <w:bodyDiv w:val="1"/>
      <w:marLeft w:val="0"/>
      <w:marRight w:val="0"/>
      <w:marTop w:val="0"/>
      <w:marBottom w:val="0"/>
      <w:divBdr>
        <w:top w:val="none" w:sz="0" w:space="0" w:color="auto"/>
        <w:left w:val="none" w:sz="0" w:space="0" w:color="auto"/>
        <w:bottom w:val="none" w:sz="0" w:space="0" w:color="auto"/>
        <w:right w:val="none" w:sz="0" w:space="0" w:color="auto"/>
      </w:divBdr>
    </w:div>
    <w:div w:id="539827251">
      <w:bodyDiv w:val="1"/>
      <w:marLeft w:val="0"/>
      <w:marRight w:val="0"/>
      <w:marTop w:val="0"/>
      <w:marBottom w:val="0"/>
      <w:divBdr>
        <w:top w:val="none" w:sz="0" w:space="0" w:color="auto"/>
        <w:left w:val="none" w:sz="0" w:space="0" w:color="auto"/>
        <w:bottom w:val="none" w:sz="0" w:space="0" w:color="auto"/>
        <w:right w:val="none" w:sz="0" w:space="0" w:color="auto"/>
      </w:divBdr>
    </w:div>
    <w:div w:id="570507611">
      <w:bodyDiv w:val="1"/>
      <w:marLeft w:val="0"/>
      <w:marRight w:val="0"/>
      <w:marTop w:val="0"/>
      <w:marBottom w:val="0"/>
      <w:divBdr>
        <w:top w:val="none" w:sz="0" w:space="0" w:color="auto"/>
        <w:left w:val="none" w:sz="0" w:space="0" w:color="auto"/>
        <w:bottom w:val="none" w:sz="0" w:space="0" w:color="auto"/>
        <w:right w:val="none" w:sz="0" w:space="0" w:color="auto"/>
      </w:divBdr>
    </w:div>
    <w:div w:id="608779668">
      <w:bodyDiv w:val="1"/>
      <w:marLeft w:val="0"/>
      <w:marRight w:val="0"/>
      <w:marTop w:val="0"/>
      <w:marBottom w:val="0"/>
      <w:divBdr>
        <w:top w:val="none" w:sz="0" w:space="0" w:color="auto"/>
        <w:left w:val="none" w:sz="0" w:space="0" w:color="auto"/>
        <w:bottom w:val="none" w:sz="0" w:space="0" w:color="auto"/>
        <w:right w:val="none" w:sz="0" w:space="0" w:color="auto"/>
      </w:divBdr>
    </w:div>
    <w:div w:id="784275246">
      <w:bodyDiv w:val="1"/>
      <w:marLeft w:val="0"/>
      <w:marRight w:val="0"/>
      <w:marTop w:val="0"/>
      <w:marBottom w:val="0"/>
      <w:divBdr>
        <w:top w:val="none" w:sz="0" w:space="0" w:color="auto"/>
        <w:left w:val="none" w:sz="0" w:space="0" w:color="auto"/>
        <w:bottom w:val="none" w:sz="0" w:space="0" w:color="auto"/>
        <w:right w:val="none" w:sz="0" w:space="0" w:color="auto"/>
      </w:divBdr>
    </w:div>
    <w:div w:id="951744800">
      <w:marLeft w:val="0"/>
      <w:marRight w:val="0"/>
      <w:marTop w:val="0"/>
      <w:marBottom w:val="0"/>
      <w:divBdr>
        <w:top w:val="none" w:sz="0" w:space="0" w:color="auto"/>
        <w:left w:val="none" w:sz="0" w:space="0" w:color="auto"/>
        <w:bottom w:val="none" w:sz="0" w:space="0" w:color="auto"/>
        <w:right w:val="none" w:sz="0" w:space="0" w:color="auto"/>
      </w:divBdr>
    </w:div>
    <w:div w:id="951744801">
      <w:marLeft w:val="0"/>
      <w:marRight w:val="0"/>
      <w:marTop w:val="0"/>
      <w:marBottom w:val="0"/>
      <w:divBdr>
        <w:top w:val="none" w:sz="0" w:space="0" w:color="auto"/>
        <w:left w:val="none" w:sz="0" w:space="0" w:color="auto"/>
        <w:bottom w:val="none" w:sz="0" w:space="0" w:color="auto"/>
        <w:right w:val="none" w:sz="0" w:space="0" w:color="auto"/>
      </w:divBdr>
    </w:div>
    <w:div w:id="951744802">
      <w:marLeft w:val="0"/>
      <w:marRight w:val="0"/>
      <w:marTop w:val="0"/>
      <w:marBottom w:val="0"/>
      <w:divBdr>
        <w:top w:val="none" w:sz="0" w:space="0" w:color="auto"/>
        <w:left w:val="none" w:sz="0" w:space="0" w:color="auto"/>
        <w:bottom w:val="none" w:sz="0" w:space="0" w:color="auto"/>
        <w:right w:val="none" w:sz="0" w:space="0" w:color="auto"/>
      </w:divBdr>
    </w:div>
    <w:div w:id="951744803">
      <w:marLeft w:val="0"/>
      <w:marRight w:val="0"/>
      <w:marTop w:val="0"/>
      <w:marBottom w:val="0"/>
      <w:divBdr>
        <w:top w:val="none" w:sz="0" w:space="0" w:color="auto"/>
        <w:left w:val="none" w:sz="0" w:space="0" w:color="auto"/>
        <w:bottom w:val="none" w:sz="0" w:space="0" w:color="auto"/>
        <w:right w:val="none" w:sz="0" w:space="0" w:color="auto"/>
      </w:divBdr>
    </w:div>
    <w:div w:id="951744804">
      <w:marLeft w:val="0"/>
      <w:marRight w:val="0"/>
      <w:marTop w:val="0"/>
      <w:marBottom w:val="0"/>
      <w:divBdr>
        <w:top w:val="none" w:sz="0" w:space="0" w:color="auto"/>
        <w:left w:val="none" w:sz="0" w:space="0" w:color="auto"/>
        <w:bottom w:val="none" w:sz="0" w:space="0" w:color="auto"/>
        <w:right w:val="none" w:sz="0" w:space="0" w:color="auto"/>
      </w:divBdr>
    </w:div>
    <w:div w:id="951744805">
      <w:marLeft w:val="0"/>
      <w:marRight w:val="0"/>
      <w:marTop w:val="0"/>
      <w:marBottom w:val="0"/>
      <w:divBdr>
        <w:top w:val="none" w:sz="0" w:space="0" w:color="auto"/>
        <w:left w:val="none" w:sz="0" w:space="0" w:color="auto"/>
        <w:bottom w:val="none" w:sz="0" w:space="0" w:color="auto"/>
        <w:right w:val="none" w:sz="0" w:space="0" w:color="auto"/>
      </w:divBdr>
    </w:div>
    <w:div w:id="951744806">
      <w:marLeft w:val="0"/>
      <w:marRight w:val="0"/>
      <w:marTop w:val="0"/>
      <w:marBottom w:val="0"/>
      <w:divBdr>
        <w:top w:val="none" w:sz="0" w:space="0" w:color="auto"/>
        <w:left w:val="none" w:sz="0" w:space="0" w:color="auto"/>
        <w:bottom w:val="none" w:sz="0" w:space="0" w:color="auto"/>
        <w:right w:val="none" w:sz="0" w:space="0" w:color="auto"/>
      </w:divBdr>
    </w:div>
    <w:div w:id="951744807">
      <w:marLeft w:val="0"/>
      <w:marRight w:val="0"/>
      <w:marTop w:val="0"/>
      <w:marBottom w:val="0"/>
      <w:divBdr>
        <w:top w:val="none" w:sz="0" w:space="0" w:color="auto"/>
        <w:left w:val="none" w:sz="0" w:space="0" w:color="auto"/>
        <w:bottom w:val="none" w:sz="0" w:space="0" w:color="auto"/>
        <w:right w:val="none" w:sz="0" w:space="0" w:color="auto"/>
      </w:divBdr>
    </w:div>
    <w:div w:id="951744808">
      <w:marLeft w:val="0"/>
      <w:marRight w:val="0"/>
      <w:marTop w:val="0"/>
      <w:marBottom w:val="0"/>
      <w:divBdr>
        <w:top w:val="none" w:sz="0" w:space="0" w:color="auto"/>
        <w:left w:val="none" w:sz="0" w:space="0" w:color="auto"/>
        <w:bottom w:val="none" w:sz="0" w:space="0" w:color="auto"/>
        <w:right w:val="none" w:sz="0" w:space="0" w:color="auto"/>
      </w:divBdr>
    </w:div>
    <w:div w:id="951744809">
      <w:marLeft w:val="0"/>
      <w:marRight w:val="0"/>
      <w:marTop w:val="0"/>
      <w:marBottom w:val="0"/>
      <w:divBdr>
        <w:top w:val="none" w:sz="0" w:space="0" w:color="auto"/>
        <w:left w:val="none" w:sz="0" w:space="0" w:color="auto"/>
        <w:bottom w:val="none" w:sz="0" w:space="0" w:color="auto"/>
        <w:right w:val="none" w:sz="0" w:space="0" w:color="auto"/>
      </w:divBdr>
    </w:div>
    <w:div w:id="951744810">
      <w:marLeft w:val="0"/>
      <w:marRight w:val="0"/>
      <w:marTop w:val="0"/>
      <w:marBottom w:val="0"/>
      <w:divBdr>
        <w:top w:val="none" w:sz="0" w:space="0" w:color="auto"/>
        <w:left w:val="none" w:sz="0" w:space="0" w:color="auto"/>
        <w:bottom w:val="none" w:sz="0" w:space="0" w:color="auto"/>
        <w:right w:val="none" w:sz="0" w:space="0" w:color="auto"/>
      </w:divBdr>
    </w:div>
    <w:div w:id="951744812">
      <w:marLeft w:val="0"/>
      <w:marRight w:val="0"/>
      <w:marTop w:val="0"/>
      <w:marBottom w:val="0"/>
      <w:divBdr>
        <w:top w:val="none" w:sz="0" w:space="0" w:color="auto"/>
        <w:left w:val="none" w:sz="0" w:space="0" w:color="auto"/>
        <w:bottom w:val="none" w:sz="0" w:space="0" w:color="auto"/>
        <w:right w:val="none" w:sz="0" w:space="0" w:color="auto"/>
      </w:divBdr>
    </w:div>
    <w:div w:id="951744813">
      <w:marLeft w:val="0"/>
      <w:marRight w:val="0"/>
      <w:marTop w:val="0"/>
      <w:marBottom w:val="0"/>
      <w:divBdr>
        <w:top w:val="none" w:sz="0" w:space="0" w:color="auto"/>
        <w:left w:val="none" w:sz="0" w:space="0" w:color="auto"/>
        <w:bottom w:val="none" w:sz="0" w:space="0" w:color="auto"/>
        <w:right w:val="none" w:sz="0" w:space="0" w:color="auto"/>
      </w:divBdr>
      <w:divsChild>
        <w:div w:id="951744822">
          <w:marLeft w:val="720"/>
          <w:marRight w:val="720"/>
          <w:marTop w:val="100"/>
          <w:marBottom w:val="100"/>
          <w:divBdr>
            <w:top w:val="none" w:sz="0" w:space="0" w:color="auto"/>
            <w:left w:val="none" w:sz="0" w:space="0" w:color="auto"/>
            <w:bottom w:val="none" w:sz="0" w:space="0" w:color="auto"/>
            <w:right w:val="none" w:sz="0" w:space="0" w:color="auto"/>
          </w:divBdr>
          <w:divsChild>
            <w:div w:id="95174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744814">
      <w:marLeft w:val="0"/>
      <w:marRight w:val="0"/>
      <w:marTop w:val="0"/>
      <w:marBottom w:val="0"/>
      <w:divBdr>
        <w:top w:val="none" w:sz="0" w:space="0" w:color="auto"/>
        <w:left w:val="none" w:sz="0" w:space="0" w:color="auto"/>
        <w:bottom w:val="none" w:sz="0" w:space="0" w:color="auto"/>
        <w:right w:val="none" w:sz="0" w:space="0" w:color="auto"/>
      </w:divBdr>
    </w:div>
    <w:div w:id="951744815">
      <w:marLeft w:val="0"/>
      <w:marRight w:val="0"/>
      <w:marTop w:val="0"/>
      <w:marBottom w:val="0"/>
      <w:divBdr>
        <w:top w:val="none" w:sz="0" w:space="0" w:color="auto"/>
        <w:left w:val="none" w:sz="0" w:space="0" w:color="auto"/>
        <w:bottom w:val="none" w:sz="0" w:space="0" w:color="auto"/>
        <w:right w:val="none" w:sz="0" w:space="0" w:color="auto"/>
      </w:divBdr>
    </w:div>
    <w:div w:id="951744816">
      <w:marLeft w:val="0"/>
      <w:marRight w:val="0"/>
      <w:marTop w:val="0"/>
      <w:marBottom w:val="0"/>
      <w:divBdr>
        <w:top w:val="none" w:sz="0" w:space="0" w:color="auto"/>
        <w:left w:val="none" w:sz="0" w:space="0" w:color="auto"/>
        <w:bottom w:val="none" w:sz="0" w:space="0" w:color="auto"/>
        <w:right w:val="none" w:sz="0" w:space="0" w:color="auto"/>
      </w:divBdr>
    </w:div>
    <w:div w:id="951744817">
      <w:marLeft w:val="0"/>
      <w:marRight w:val="0"/>
      <w:marTop w:val="0"/>
      <w:marBottom w:val="0"/>
      <w:divBdr>
        <w:top w:val="none" w:sz="0" w:space="0" w:color="auto"/>
        <w:left w:val="none" w:sz="0" w:space="0" w:color="auto"/>
        <w:bottom w:val="none" w:sz="0" w:space="0" w:color="auto"/>
        <w:right w:val="none" w:sz="0" w:space="0" w:color="auto"/>
      </w:divBdr>
    </w:div>
    <w:div w:id="951744818">
      <w:marLeft w:val="0"/>
      <w:marRight w:val="0"/>
      <w:marTop w:val="0"/>
      <w:marBottom w:val="0"/>
      <w:divBdr>
        <w:top w:val="none" w:sz="0" w:space="0" w:color="auto"/>
        <w:left w:val="none" w:sz="0" w:space="0" w:color="auto"/>
        <w:bottom w:val="none" w:sz="0" w:space="0" w:color="auto"/>
        <w:right w:val="none" w:sz="0" w:space="0" w:color="auto"/>
      </w:divBdr>
    </w:div>
    <w:div w:id="951744819">
      <w:marLeft w:val="0"/>
      <w:marRight w:val="0"/>
      <w:marTop w:val="0"/>
      <w:marBottom w:val="0"/>
      <w:divBdr>
        <w:top w:val="none" w:sz="0" w:space="0" w:color="auto"/>
        <w:left w:val="none" w:sz="0" w:space="0" w:color="auto"/>
        <w:bottom w:val="none" w:sz="0" w:space="0" w:color="auto"/>
        <w:right w:val="none" w:sz="0" w:space="0" w:color="auto"/>
      </w:divBdr>
    </w:div>
    <w:div w:id="951744820">
      <w:marLeft w:val="0"/>
      <w:marRight w:val="0"/>
      <w:marTop w:val="0"/>
      <w:marBottom w:val="0"/>
      <w:divBdr>
        <w:top w:val="none" w:sz="0" w:space="0" w:color="auto"/>
        <w:left w:val="none" w:sz="0" w:space="0" w:color="auto"/>
        <w:bottom w:val="none" w:sz="0" w:space="0" w:color="auto"/>
        <w:right w:val="none" w:sz="0" w:space="0" w:color="auto"/>
      </w:divBdr>
    </w:div>
    <w:div w:id="951744821">
      <w:marLeft w:val="0"/>
      <w:marRight w:val="0"/>
      <w:marTop w:val="0"/>
      <w:marBottom w:val="0"/>
      <w:divBdr>
        <w:top w:val="none" w:sz="0" w:space="0" w:color="auto"/>
        <w:left w:val="none" w:sz="0" w:space="0" w:color="auto"/>
        <w:bottom w:val="none" w:sz="0" w:space="0" w:color="auto"/>
        <w:right w:val="none" w:sz="0" w:space="0" w:color="auto"/>
      </w:divBdr>
    </w:div>
    <w:div w:id="951744823">
      <w:marLeft w:val="0"/>
      <w:marRight w:val="0"/>
      <w:marTop w:val="0"/>
      <w:marBottom w:val="0"/>
      <w:divBdr>
        <w:top w:val="none" w:sz="0" w:space="0" w:color="auto"/>
        <w:left w:val="none" w:sz="0" w:space="0" w:color="auto"/>
        <w:bottom w:val="none" w:sz="0" w:space="0" w:color="auto"/>
        <w:right w:val="none" w:sz="0" w:space="0" w:color="auto"/>
      </w:divBdr>
    </w:div>
    <w:div w:id="951744824">
      <w:marLeft w:val="0"/>
      <w:marRight w:val="0"/>
      <w:marTop w:val="0"/>
      <w:marBottom w:val="0"/>
      <w:divBdr>
        <w:top w:val="none" w:sz="0" w:space="0" w:color="auto"/>
        <w:left w:val="none" w:sz="0" w:space="0" w:color="auto"/>
        <w:bottom w:val="none" w:sz="0" w:space="0" w:color="auto"/>
        <w:right w:val="none" w:sz="0" w:space="0" w:color="auto"/>
      </w:divBdr>
    </w:div>
    <w:div w:id="951744825">
      <w:marLeft w:val="0"/>
      <w:marRight w:val="0"/>
      <w:marTop w:val="0"/>
      <w:marBottom w:val="0"/>
      <w:divBdr>
        <w:top w:val="none" w:sz="0" w:space="0" w:color="auto"/>
        <w:left w:val="none" w:sz="0" w:space="0" w:color="auto"/>
        <w:bottom w:val="none" w:sz="0" w:space="0" w:color="auto"/>
        <w:right w:val="none" w:sz="0" w:space="0" w:color="auto"/>
      </w:divBdr>
    </w:div>
    <w:div w:id="951744826">
      <w:marLeft w:val="0"/>
      <w:marRight w:val="0"/>
      <w:marTop w:val="0"/>
      <w:marBottom w:val="0"/>
      <w:divBdr>
        <w:top w:val="none" w:sz="0" w:space="0" w:color="auto"/>
        <w:left w:val="none" w:sz="0" w:space="0" w:color="auto"/>
        <w:bottom w:val="none" w:sz="0" w:space="0" w:color="auto"/>
        <w:right w:val="none" w:sz="0" w:space="0" w:color="auto"/>
      </w:divBdr>
    </w:div>
    <w:div w:id="990716943">
      <w:bodyDiv w:val="1"/>
      <w:marLeft w:val="0"/>
      <w:marRight w:val="0"/>
      <w:marTop w:val="0"/>
      <w:marBottom w:val="0"/>
      <w:divBdr>
        <w:top w:val="none" w:sz="0" w:space="0" w:color="auto"/>
        <w:left w:val="none" w:sz="0" w:space="0" w:color="auto"/>
        <w:bottom w:val="none" w:sz="0" w:space="0" w:color="auto"/>
        <w:right w:val="none" w:sz="0" w:space="0" w:color="auto"/>
      </w:divBdr>
    </w:div>
    <w:div w:id="1492210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45" Type="http://schemas.microsoft.com/office/2018/08/relationships/commentsExtensible" Target="commentsExtensible.xml"/><Relationship Id="rId5" Type="http://schemas.openxmlformats.org/officeDocument/2006/relationships/webSettings" Target="webSettings.xml"/><Relationship Id="rId10" Type="http://schemas.openxmlformats.org/officeDocument/2006/relationships/image" Target="media/image2.png"/><Relationship Id="rId44"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mailto:por-rop@pco-bcp.ca"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TSC CS">
      <a:dk1>
        <a:srgbClr val="5A5B5E"/>
      </a:dk1>
      <a:lt1>
        <a:sysClr val="window" lastClr="FFFFFF"/>
      </a:lt1>
      <a:dk2>
        <a:srgbClr val="E1E1E1"/>
      </a:dk2>
      <a:lt2>
        <a:srgbClr val="EB431B"/>
      </a:lt2>
      <a:accent1>
        <a:srgbClr val="66B133"/>
      </a:accent1>
      <a:accent2>
        <a:srgbClr val="F8B732"/>
      </a:accent2>
      <a:accent3>
        <a:srgbClr val="34AACD"/>
      </a:accent3>
      <a:accent4>
        <a:srgbClr val="258ABB"/>
      </a:accent4>
      <a:accent5>
        <a:srgbClr val="144862"/>
      </a:accent5>
      <a:accent6>
        <a:srgbClr val="FF671D"/>
      </a:accent6>
      <a:hlink>
        <a:srgbClr val="524A84"/>
      </a:hlink>
      <a:folHlink>
        <a:srgbClr val="948EBD"/>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DCAC51-4294-4F6F-9B65-C0F693969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16</Pages>
  <Words>6789</Words>
  <Characters>37600</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Fulford</dc:creator>
  <cp:keywords/>
  <dc:description/>
  <cp:lastModifiedBy>Claire Emery</cp:lastModifiedBy>
  <cp:revision>5</cp:revision>
  <cp:lastPrinted>2021-03-01T21:32:00Z</cp:lastPrinted>
  <dcterms:created xsi:type="dcterms:W3CDTF">2021-03-01T21:23:00Z</dcterms:created>
  <dcterms:modified xsi:type="dcterms:W3CDTF">2021-03-01T21:33:00Z</dcterms:modified>
</cp:coreProperties>
</file>