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AF214" w14:textId="73DAEBCD" w:rsidR="00EB5A64" w:rsidRDefault="00EB5A64"/>
    <w:p w14:paraId="73A7E1FB" w14:textId="03216F9A" w:rsidR="002D54B9" w:rsidRDefault="000C1DBE">
      <w:r>
        <w:rPr>
          <w:noProof/>
          <w:lang w:eastAsia="en-CA"/>
        </w:rPr>
        <w:drawing>
          <wp:anchor distT="0" distB="0" distL="114300" distR="114300" simplePos="0" relativeHeight="251657728" behindDoc="0" locked="0" layoutInCell="1" allowOverlap="1" wp14:anchorId="289C2242" wp14:editId="1770926C">
            <wp:simplePos x="0" y="0"/>
            <wp:positionH relativeFrom="margin">
              <wp:align>left</wp:align>
            </wp:positionH>
            <wp:positionV relativeFrom="paragraph">
              <wp:posOffset>-457200</wp:posOffset>
            </wp:positionV>
            <wp:extent cx="2648585" cy="28448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8585" cy="284480"/>
                    </a:xfrm>
                    <a:prstGeom prst="rect">
                      <a:avLst/>
                    </a:prstGeom>
                    <a:noFill/>
                  </pic:spPr>
                </pic:pic>
              </a:graphicData>
            </a:graphic>
            <wp14:sizeRelH relativeFrom="page">
              <wp14:pctWidth>0</wp14:pctWidth>
            </wp14:sizeRelH>
            <wp14:sizeRelV relativeFrom="page">
              <wp14:pctHeight>0</wp14:pctHeight>
            </wp14:sizeRelV>
          </wp:anchor>
        </w:drawing>
      </w:r>
    </w:p>
    <w:p w14:paraId="0A955BE4" w14:textId="77777777" w:rsidR="002D54B9" w:rsidRDefault="002D54B9" w:rsidP="002925A3">
      <w:pPr>
        <w:spacing w:after="0"/>
      </w:pPr>
    </w:p>
    <w:p w14:paraId="1EF2EE0E" w14:textId="77777777" w:rsidR="002D54B9" w:rsidRDefault="002D54B9" w:rsidP="002925A3">
      <w:pPr>
        <w:spacing w:after="0"/>
      </w:pPr>
    </w:p>
    <w:p w14:paraId="68A359B6" w14:textId="77777777" w:rsidR="002D54B9" w:rsidRDefault="002D54B9" w:rsidP="002925A3">
      <w:pPr>
        <w:spacing w:after="0"/>
      </w:pPr>
    </w:p>
    <w:p w14:paraId="5DB59805" w14:textId="77777777" w:rsidR="002D54B9" w:rsidRDefault="002D54B9" w:rsidP="002925A3">
      <w:pPr>
        <w:spacing w:after="0"/>
      </w:pPr>
    </w:p>
    <w:p w14:paraId="052AD712" w14:textId="77777777" w:rsidR="002D54B9" w:rsidRDefault="002D54B9" w:rsidP="002925A3">
      <w:pPr>
        <w:spacing w:after="0"/>
      </w:pPr>
    </w:p>
    <w:p w14:paraId="57898B47" w14:textId="77777777" w:rsidR="002D54B9" w:rsidRDefault="002D54B9" w:rsidP="002925A3">
      <w:pPr>
        <w:spacing w:after="0"/>
      </w:pPr>
    </w:p>
    <w:p w14:paraId="05782C9A" w14:textId="335B8133" w:rsidR="00974C73" w:rsidRPr="0058733E" w:rsidRDefault="00974C73" w:rsidP="00974C73">
      <w:pPr>
        <w:spacing w:after="0"/>
        <w:ind w:right="1872"/>
        <w:rPr>
          <w:rFonts w:ascii="Segoe UI Light" w:hAnsi="Segoe UI Light" w:cs="Segoe UI Light"/>
          <w:sz w:val="44"/>
          <w:lang w:val="fr-CA"/>
        </w:rPr>
      </w:pPr>
      <w:r w:rsidRPr="0058733E">
        <w:rPr>
          <w:rFonts w:ascii="Segoe UI Light" w:hAnsi="Segoe UI Light" w:cs="Segoe UI Light"/>
          <w:sz w:val="44"/>
          <w:lang w:val="fr-CA"/>
        </w:rPr>
        <w:t xml:space="preserve">Collecte continue de données qualitatives sur les opinions des Canadiens </w:t>
      </w:r>
      <w:r w:rsidR="0058733E" w:rsidRPr="0058733E">
        <w:rPr>
          <w:rFonts w:ascii="Segoe UI Light" w:hAnsi="Segoe UI Light" w:cs="Segoe UI Light"/>
          <w:sz w:val="44"/>
          <w:lang w:val="fr-CA"/>
        </w:rPr>
        <w:t xml:space="preserve">– </w:t>
      </w:r>
      <w:r w:rsidR="00CA41A3">
        <w:rPr>
          <w:rFonts w:ascii="Segoe UI Light" w:hAnsi="Segoe UI Light" w:cs="Segoe UI Light"/>
          <w:sz w:val="44"/>
          <w:lang w:val="fr-CA"/>
        </w:rPr>
        <w:t>octobre</w:t>
      </w:r>
      <w:r w:rsidRPr="0058733E">
        <w:rPr>
          <w:rFonts w:ascii="Segoe UI Light" w:hAnsi="Segoe UI Light" w:cs="Segoe UI Light"/>
          <w:sz w:val="44"/>
          <w:lang w:val="fr-CA"/>
        </w:rPr>
        <w:t xml:space="preserve"> 2020</w:t>
      </w:r>
    </w:p>
    <w:p w14:paraId="42CACC75" w14:textId="77777777" w:rsidR="002D54B9" w:rsidRPr="00974C73" w:rsidRDefault="002D54B9" w:rsidP="002925A3">
      <w:pPr>
        <w:spacing w:after="0"/>
        <w:rPr>
          <w:sz w:val="28"/>
          <w:lang w:val="fr-CA"/>
        </w:rPr>
      </w:pPr>
    </w:p>
    <w:p w14:paraId="1D12A834" w14:textId="77777777" w:rsidR="00974C73" w:rsidRPr="0096449E" w:rsidRDefault="00974C73" w:rsidP="00974C73">
      <w:pPr>
        <w:rPr>
          <w:sz w:val="28"/>
          <w:lang w:val="fr-CA"/>
        </w:rPr>
      </w:pPr>
      <w:r>
        <w:rPr>
          <w:sz w:val="28"/>
          <w:lang w:val="fr-CA"/>
        </w:rPr>
        <w:t>Sommaire</w:t>
      </w:r>
    </w:p>
    <w:p w14:paraId="748920AF" w14:textId="77777777" w:rsidR="002D54B9" w:rsidRPr="00974C73" w:rsidRDefault="002D54B9" w:rsidP="002925A3">
      <w:pPr>
        <w:spacing w:after="0"/>
        <w:rPr>
          <w:lang w:val="fr-CA"/>
        </w:rPr>
      </w:pPr>
    </w:p>
    <w:p w14:paraId="750CC7EB" w14:textId="77777777" w:rsidR="00706DE6" w:rsidRPr="00974C73" w:rsidRDefault="00706DE6" w:rsidP="002925A3">
      <w:pPr>
        <w:spacing w:after="0"/>
        <w:rPr>
          <w:lang w:val="fr-CA"/>
        </w:rPr>
      </w:pPr>
    </w:p>
    <w:p w14:paraId="33620ECC" w14:textId="77777777" w:rsidR="00663948" w:rsidRPr="00974C73" w:rsidRDefault="00663948" w:rsidP="002925A3">
      <w:pPr>
        <w:spacing w:after="0"/>
        <w:rPr>
          <w:lang w:val="fr-CA"/>
        </w:rPr>
      </w:pPr>
    </w:p>
    <w:p w14:paraId="167F1FFE" w14:textId="77777777" w:rsidR="00E804DC" w:rsidRPr="00974C73" w:rsidRDefault="00E804DC" w:rsidP="002925A3">
      <w:pPr>
        <w:spacing w:after="0"/>
        <w:rPr>
          <w:lang w:val="fr-CA"/>
        </w:rPr>
      </w:pPr>
    </w:p>
    <w:p w14:paraId="25FB0AB9" w14:textId="77777777" w:rsidR="00E804DC" w:rsidRDefault="00E804DC" w:rsidP="002925A3">
      <w:pPr>
        <w:spacing w:after="0"/>
        <w:rPr>
          <w:lang w:val="fr-CA"/>
        </w:rPr>
      </w:pPr>
    </w:p>
    <w:p w14:paraId="02A01449" w14:textId="77777777" w:rsidR="0058733E" w:rsidRDefault="0058733E" w:rsidP="002925A3">
      <w:pPr>
        <w:spacing w:after="0"/>
        <w:rPr>
          <w:lang w:val="fr-CA"/>
        </w:rPr>
      </w:pPr>
    </w:p>
    <w:p w14:paraId="5236EB4B" w14:textId="77777777" w:rsidR="0058733E" w:rsidRDefault="0058733E" w:rsidP="002925A3">
      <w:pPr>
        <w:spacing w:after="0"/>
        <w:rPr>
          <w:lang w:val="fr-CA"/>
        </w:rPr>
      </w:pPr>
    </w:p>
    <w:p w14:paraId="1FED6D9F" w14:textId="77777777" w:rsidR="0058733E" w:rsidRDefault="0058733E" w:rsidP="002925A3">
      <w:pPr>
        <w:spacing w:after="0"/>
        <w:rPr>
          <w:lang w:val="fr-CA"/>
        </w:rPr>
      </w:pPr>
    </w:p>
    <w:p w14:paraId="72934147" w14:textId="77777777" w:rsidR="0058733E" w:rsidRDefault="0058733E" w:rsidP="002925A3">
      <w:pPr>
        <w:spacing w:after="0"/>
        <w:rPr>
          <w:lang w:val="fr-CA"/>
        </w:rPr>
      </w:pPr>
    </w:p>
    <w:p w14:paraId="1FF54FA1" w14:textId="77777777" w:rsidR="0058733E" w:rsidRPr="00974C73" w:rsidRDefault="0058733E" w:rsidP="002925A3">
      <w:pPr>
        <w:spacing w:after="0"/>
        <w:rPr>
          <w:lang w:val="fr-CA"/>
        </w:rPr>
      </w:pPr>
    </w:p>
    <w:p w14:paraId="11FC3742" w14:textId="77777777" w:rsidR="002D54B9" w:rsidRPr="00974C73" w:rsidRDefault="002D54B9" w:rsidP="002925A3">
      <w:pPr>
        <w:spacing w:after="0"/>
        <w:rPr>
          <w:lang w:val="fr-CA"/>
        </w:rPr>
      </w:pPr>
    </w:p>
    <w:p w14:paraId="4F3E4E0F" w14:textId="77777777" w:rsidR="00974C73" w:rsidRPr="0096449E" w:rsidRDefault="00974C73" w:rsidP="00974C73">
      <w:pPr>
        <w:spacing w:after="0"/>
        <w:rPr>
          <w:b/>
          <w:sz w:val="22"/>
          <w:lang w:val="fr-CA"/>
        </w:rPr>
      </w:pPr>
      <w:r w:rsidRPr="0096449E">
        <w:rPr>
          <w:b/>
          <w:sz w:val="22"/>
          <w:lang w:val="fr-CA"/>
        </w:rPr>
        <w:t>Rédigé pour le compte du Bureau du Conseil privé</w:t>
      </w:r>
    </w:p>
    <w:p w14:paraId="24457D87" w14:textId="77777777" w:rsidR="00974C73" w:rsidRPr="0096449E" w:rsidRDefault="00974C73" w:rsidP="00974C73">
      <w:pPr>
        <w:spacing w:after="0"/>
        <w:rPr>
          <w:lang w:val="fr-CA"/>
        </w:rPr>
      </w:pPr>
      <w:r w:rsidRPr="0096449E">
        <w:rPr>
          <w:lang w:val="fr-CA"/>
        </w:rPr>
        <w:t>Fournisseur </w:t>
      </w:r>
      <w:proofErr w:type="gramStart"/>
      <w:r w:rsidRPr="0096449E">
        <w:rPr>
          <w:lang w:val="fr-CA"/>
        </w:rPr>
        <w:t>:  The</w:t>
      </w:r>
      <w:proofErr w:type="gramEnd"/>
      <w:r w:rsidRPr="0096449E">
        <w:rPr>
          <w:lang w:val="fr-CA"/>
        </w:rPr>
        <w:t xml:space="preserve"> </w:t>
      </w:r>
      <w:proofErr w:type="spellStart"/>
      <w:r w:rsidRPr="0096449E">
        <w:rPr>
          <w:lang w:val="fr-CA"/>
        </w:rPr>
        <w:t>Strategic</w:t>
      </w:r>
      <w:proofErr w:type="spellEnd"/>
      <w:r w:rsidRPr="0096449E">
        <w:rPr>
          <w:lang w:val="fr-CA"/>
        </w:rPr>
        <w:t xml:space="preserve"> </w:t>
      </w:r>
      <w:proofErr w:type="spellStart"/>
      <w:r w:rsidRPr="0096449E">
        <w:rPr>
          <w:lang w:val="fr-CA"/>
        </w:rPr>
        <w:t>Counsel</w:t>
      </w:r>
      <w:proofErr w:type="spellEnd"/>
    </w:p>
    <w:p w14:paraId="18ED62FC" w14:textId="77777777" w:rsidR="00974C73" w:rsidRPr="0096449E" w:rsidRDefault="00974C73" w:rsidP="00974C73">
      <w:pPr>
        <w:spacing w:after="0"/>
        <w:rPr>
          <w:lang w:val="fr-CA"/>
        </w:rPr>
      </w:pPr>
      <w:r w:rsidRPr="0096449E">
        <w:rPr>
          <w:lang w:val="fr-CA"/>
        </w:rPr>
        <w:t>Numéro de contrat </w:t>
      </w:r>
      <w:proofErr w:type="gramStart"/>
      <w:r w:rsidRPr="0096449E">
        <w:rPr>
          <w:lang w:val="fr-CA"/>
        </w:rPr>
        <w:t>:  35035</w:t>
      </w:r>
      <w:proofErr w:type="gramEnd"/>
      <w:r w:rsidRPr="0096449E">
        <w:rPr>
          <w:lang w:val="fr-CA"/>
        </w:rPr>
        <w:t>-182346/001/CY</w:t>
      </w:r>
    </w:p>
    <w:p w14:paraId="65FB2733" w14:textId="73CDBCA7" w:rsidR="00974C73" w:rsidRPr="0096449E" w:rsidRDefault="00510CDC" w:rsidP="00974C73">
      <w:pPr>
        <w:spacing w:after="0"/>
        <w:rPr>
          <w:lang w:val="fr-CA"/>
        </w:rPr>
      </w:pPr>
      <w:r>
        <w:rPr>
          <w:lang w:val="fr-CA"/>
        </w:rPr>
        <w:t>Valeur du contrat </w:t>
      </w:r>
      <w:proofErr w:type="gramStart"/>
      <w:r>
        <w:rPr>
          <w:lang w:val="fr-CA"/>
        </w:rPr>
        <w:t>:  1</w:t>
      </w:r>
      <w:proofErr w:type="gramEnd"/>
      <w:r>
        <w:rPr>
          <w:lang w:val="fr-CA"/>
        </w:rPr>
        <w:t xml:space="preserve"> 618 838</w:t>
      </w:r>
      <w:r w:rsidR="00CF2A69">
        <w:rPr>
          <w:lang w:val="fr-CA"/>
        </w:rPr>
        <w:t>,00</w:t>
      </w:r>
      <w:r w:rsidR="00974C73" w:rsidRPr="0096449E">
        <w:rPr>
          <w:lang w:val="fr-CA"/>
        </w:rPr>
        <w:t> $</w:t>
      </w:r>
    </w:p>
    <w:p w14:paraId="6F1BBE92" w14:textId="43CC0CA1" w:rsidR="00974C73" w:rsidRPr="0096449E" w:rsidRDefault="00CF2A69" w:rsidP="00974C73">
      <w:pPr>
        <w:spacing w:after="0"/>
        <w:rPr>
          <w:lang w:val="fr-CA"/>
        </w:rPr>
      </w:pPr>
      <w:r>
        <w:rPr>
          <w:lang w:val="fr-CA"/>
        </w:rPr>
        <w:t>Date d’octroi du contrat : 18 décembre 2020</w:t>
      </w:r>
    </w:p>
    <w:p w14:paraId="166AC839" w14:textId="6F6CF95F" w:rsidR="00974C73" w:rsidRPr="0096449E" w:rsidRDefault="00974C73" w:rsidP="00974C73">
      <w:pPr>
        <w:spacing w:after="0"/>
        <w:rPr>
          <w:lang w:val="fr-CA"/>
        </w:rPr>
      </w:pPr>
      <w:r w:rsidRPr="0096449E">
        <w:rPr>
          <w:lang w:val="fr-CA"/>
        </w:rPr>
        <w:t>Date de livraison</w:t>
      </w:r>
      <w:r>
        <w:rPr>
          <w:lang w:val="fr-CA"/>
        </w:rPr>
        <w:t xml:space="preserve"> : </w:t>
      </w:r>
      <w:r w:rsidR="00CA41A3">
        <w:rPr>
          <w:lang w:val="fr-CA"/>
        </w:rPr>
        <w:t>5 décembre</w:t>
      </w:r>
      <w:r w:rsidR="00CA41A3" w:rsidRPr="009D6BA9">
        <w:rPr>
          <w:lang w:val="fr-CA"/>
        </w:rPr>
        <w:t xml:space="preserve"> 2020</w:t>
      </w:r>
    </w:p>
    <w:p w14:paraId="198FFCD0" w14:textId="77777777" w:rsidR="00974C73" w:rsidRPr="0096449E" w:rsidRDefault="00974C73" w:rsidP="00974C73">
      <w:pPr>
        <w:spacing w:after="0"/>
        <w:rPr>
          <w:lang w:val="fr-CA"/>
        </w:rPr>
      </w:pPr>
    </w:p>
    <w:p w14:paraId="43E283B1" w14:textId="77777777" w:rsidR="00974C73" w:rsidRPr="0096449E" w:rsidRDefault="00974C73" w:rsidP="00974C73">
      <w:pPr>
        <w:spacing w:after="0"/>
        <w:rPr>
          <w:lang w:val="fr-CA"/>
        </w:rPr>
      </w:pPr>
      <w:r w:rsidRPr="0096449E">
        <w:rPr>
          <w:lang w:val="fr-CA"/>
        </w:rPr>
        <w:t>Numéro d’enregistrement </w:t>
      </w:r>
      <w:proofErr w:type="gramStart"/>
      <w:r w:rsidRPr="0096449E">
        <w:rPr>
          <w:lang w:val="fr-CA"/>
        </w:rPr>
        <w:t>:  POR</w:t>
      </w:r>
      <w:proofErr w:type="gramEnd"/>
      <w:r w:rsidRPr="0096449E">
        <w:rPr>
          <w:lang w:val="fr-CA"/>
        </w:rPr>
        <w:t>-005-19</w:t>
      </w:r>
    </w:p>
    <w:p w14:paraId="63E2E5C1" w14:textId="77777777" w:rsidR="00974C73" w:rsidRPr="0096449E" w:rsidRDefault="00974C73" w:rsidP="00974C73">
      <w:pPr>
        <w:spacing w:after="0"/>
        <w:rPr>
          <w:lang w:val="fr-CA"/>
        </w:rPr>
      </w:pPr>
      <w:r w:rsidRPr="00974C73">
        <w:rPr>
          <w:rStyle w:val="Hyperlink"/>
          <w:color w:val="5A5B5E" w:themeColor="text1"/>
          <w:u w:val="none"/>
          <w:lang w:val="fr-CA"/>
        </w:rPr>
        <w:t xml:space="preserve">Pour de plus amples renseignements sur ce rapport, prière d’écrire à </w:t>
      </w:r>
      <w:hyperlink r:id="rId9" w:history="1">
        <w:r w:rsidRPr="0096449E">
          <w:rPr>
            <w:rStyle w:val="Hyperlink"/>
            <w:lang w:val="fr-CA"/>
          </w:rPr>
          <w:t>por-rop@pco-bcp.ca</w:t>
        </w:r>
      </w:hyperlink>
    </w:p>
    <w:p w14:paraId="12950FC2" w14:textId="77777777" w:rsidR="00974C73" w:rsidRPr="0096449E" w:rsidRDefault="00974C73" w:rsidP="00974C73">
      <w:pPr>
        <w:spacing w:after="0"/>
        <w:rPr>
          <w:lang w:val="fr-CA"/>
        </w:rPr>
      </w:pPr>
    </w:p>
    <w:p w14:paraId="7B8A3581" w14:textId="77777777" w:rsidR="00974C73" w:rsidRPr="0096449E" w:rsidRDefault="00974C73" w:rsidP="00974C73">
      <w:pPr>
        <w:spacing w:after="0"/>
        <w:rPr>
          <w:lang w:val="fr-CA"/>
        </w:rPr>
      </w:pPr>
    </w:p>
    <w:p w14:paraId="245CCADF" w14:textId="00338044" w:rsidR="002D54B9" w:rsidRPr="00974C73" w:rsidRDefault="00974C73" w:rsidP="00974C73">
      <w:pPr>
        <w:spacing w:after="0"/>
      </w:pPr>
      <w:r w:rsidRPr="00E65BBD">
        <w:t>This report is also available in English</w:t>
      </w:r>
    </w:p>
    <w:p w14:paraId="16DF8E94" w14:textId="77777777" w:rsidR="002D54B9" w:rsidRPr="002B5D50" w:rsidRDefault="000C1DBE" w:rsidP="002925A3">
      <w:pPr>
        <w:spacing w:after="0"/>
      </w:pPr>
      <w:r>
        <w:rPr>
          <w:noProof/>
          <w:lang w:eastAsia="en-CA"/>
        </w:rPr>
        <w:drawing>
          <wp:anchor distT="0" distB="0" distL="114300" distR="114300" simplePos="0" relativeHeight="251656704" behindDoc="0" locked="0" layoutInCell="1" allowOverlap="1" wp14:anchorId="08DAFD72" wp14:editId="2CDA47C2">
            <wp:simplePos x="0" y="0"/>
            <wp:positionH relativeFrom="margin">
              <wp:posOffset>4235450</wp:posOffset>
            </wp:positionH>
            <wp:positionV relativeFrom="bottomMargin">
              <wp:align>top</wp:align>
            </wp:positionV>
            <wp:extent cx="1746250" cy="456565"/>
            <wp:effectExtent l="0" t="0" r="0" b="0"/>
            <wp:wrapNone/>
            <wp:docPr id="3" name="Picture 24" descr="Canada word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anada wordmark"/>
                    <pic:cNvPicPr>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46250" cy="456565"/>
                    </a:xfrm>
                    <a:prstGeom prst="rect">
                      <a:avLst/>
                    </a:prstGeom>
                    <a:noFill/>
                  </pic:spPr>
                </pic:pic>
              </a:graphicData>
            </a:graphic>
            <wp14:sizeRelH relativeFrom="page">
              <wp14:pctWidth>0</wp14:pctWidth>
            </wp14:sizeRelH>
            <wp14:sizeRelV relativeFrom="page">
              <wp14:pctHeight>0</wp14:pctHeight>
            </wp14:sizeRelV>
          </wp:anchor>
        </w:drawing>
      </w:r>
    </w:p>
    <w:p w14:paraId="112C9399" w14:textId="77777777" w:rsidR="00974C73" w:rsidRPr="00B4200C" w:rsidRDefault="00974C73" w:rsidP="00974C73">
      <w:pPr>
        <w:pStyle w:val="SectionDivider"/>
      </w:pPr>
      <w:bookmarkStart w:id="0" w:name="_Toc36813752"/>
    </w:p>
    <w:p w14:paraId="56D2C994" w14:textId="77777777" w:rsidR="00974C73" w:rsidRPr="0096449E" w:rsidRDefault="00974C73" w:rsidP="00974C73">
      <w:pPr>
        <w:pStyle w:val="SectionDivider"/>
        <w:rPr>
          <w:lang w:val="fr-CA"/>
        </w:rPr>
      </w:pPr>
      <w:r w:rsidRPr="0096449E">
        <w:rPr>
          <w:lang w:val="fr-CA"/>
        </w:rPr>
        <w:t>Résumé</w:t>
      </w:r>
    </w:p>
    <w:p w14:paraId="6F8C088E" w14:textId="77777777" w:rsidR="00974C73" w:rsidRPr="0096449E" w:rsidRDefault="00974C73" w:rsidP="00974C73">
      <w:pPr>
        <w:pStyle w:val="Heading1"/>
        <w:rPr>
          <w:lang w:val="fr-CA"/>
        </w:rPr>
      </w:pPr>
      <w:r w:rsidRPr="0096449E">
        <w:rPr>
          <w:lang w:val="fr-CA"/>
        </w:rPr>
        <w:t>Introduction</w:t>
      </w:r>
    </w:p>
    <w:p w14:paraId="0CFCC473" w14:textId="77777777" w:rsidR="0058733E" w:rsidRPr="0001346F" w:rsidRDefault="0058733E" w:rsidP="0058733E">
      <w:pPr>
        <w:rPr>
          <w:lang w:val="fr-CA"/>
        </w:rPr>
      </w:pPr>
      <w:bookmarkStart w:id="1" w:name="lt_pId054"/>
      <w:r w:rsidRPr="007263C1">
        <w:rPr>
          <w:lang w:val="fr-CA"/>
        </w:rPr>
        <w:t xml:space="preserve">Le Secrétariat des communications et des consultations du Bureau du Conseil privé (BCP) a confié à The </w:t>
      </w:r>
      <w:proofErr w:type="spellStart"/>
      <w:r w:rsidRPr="007263C1">
        <w:rPr>
          <w:lang w:val="fr-CA"/>
        </w:rPr>
        <w:t>Strategic</w:t>
      </w:r>
      <w:proofErr w:type="spellEnd"/>
      <w:r w:rsidRPr="007263C1">
        <w:rPr>
          <w:lang w:val="fr-CA"/>
        </w:rPr>
        <w:t xml:space="preserve"> </w:t>
      </w:r>
      <w:proofErr w:type="spellStart"/>
      <w:r w:rsidRPr="007263C1">
        <w:rPr>
          <w:lang w:val="fr-CA"/>
        </w:rPr>
        <w:t>Counsel</w:t>
      </w:r>
      <w:proofErr w:type="spellEnd"/>
      <w:r w:rsidRPr="007263C1">
        <w:rPr>
          <w:lang w:val="fr-CA"/>
        </w:rPr>
        <w:t xml:space="preserve"> (TSC) le mandat de mener des cycles de recherche par groupe de discussion auprès de membres du public un peu partout au pays, portant sur des enjeux, des événements et des initiatives stratégiques de premier plan liés au gouvernement du Canada</w:t>
      </w:r>
      <w:r w:rsidRPr="0001346F">
        <w:rPr>
          <w:lang w:val="fr-CA"/>
        </w:rPr>
        <w:t xml:space="preserve">. </w:t>
      </w:r>
    </w:p>
    <w:p w14:paraId="2BEE01AF" w14:textId="77777777" w:rsidR="00CA41A3" w:rsidRPr="003D4CF7" w:rsidRDefault="00CA41A3" w:rsidP="00CA41A3">
      <w:pPr>
        <w:rPr>
          <w:lang w:val="fr-CA"/>
        </w:rPr>
      </w:pPr>
      <w:proofErr w:type="gramStart"/>
      <w:r w:rsidRPr="007263C1">
        <w:rPr>
          <w:lang w:val="fr-CA"/>
        </w:rPr>
        <w:t>L’objectif général de ce programme de recherche qualitative se décline en trois volets : analyser les dimensions et les facteurs d’influence de l’opinion publique sur les plus importants enjeux auxquels le pays est confronté; évaluer les perceptions et les attentes relatives aux mesures et aux priorités du gouvernement fédéral; orienter l’élaboration des communications du gouvernement du Canada pour qu’elles continuent de s’harmoniser avec les points de vue des Canadiennes et des Canadiens et leurs besoins en matière d’information, tout en demeurant claires et à faciles comprendre</w:t>
      </w:r>
      <w:r w:rsidRPr="003D4CF7">
        <w:rPr>
          <w:lang w:val="fr-CA"/>
        </w:rPr>
        <w:t>.</w:t>
      </w:r>
      <w:proofErr w:type="gramEnd"/>
    </w:p>
    <w:p w14:paraId="64C35B82" w14:textId="77777777" w:rsidR="00CA41A3" w:rsidRPr="003D4CF7" w:rsidRDefault="00CA41A3" w:rsidP="00CA41A3">
      <w:pPr>
        <w:rPr>
          <w:lang w:val="fr-CA"/>
        </w:rPr>
      </w:pPr>
      <w:r w:rsidRPr="007263C1">
        <w:rPr>
          <w:lang w:val="fr-CA"/>
        </w:rPr>
        <w:t>La recherche vise à aider le Secrétariat des communications et des consultations du BCP à remplir son mandat, qui consiste à soutenir le bureau du premier ministre dans la coordination des communications du gouvernement. Plus particulièrement, la recherche permettra de s’assurer que le BCP reste au fait des tendances émergentes et de l’opinion des Canadiens sur les enjeux de macro-niveau qui intéressent le gouvernement</w:t>
      </w:r>
      <w:r w:rsidRPr="003D4CF7">
        <w:rPr>
          <w:lang w:val="fr-CA"/>
        </w:rPr>
        <w:t>.</w:t>
      </w:r>
    </w:p>
    <w:p w14:paraId="359A6843" w14:textId="77777777" w:rsidR="00CA41A3" w:rsidRDefault="00CA41A3" w:rsidP="00CA41A3">
      <w:pPr>
        <w:rPr>
          <w:lang w:val="fr-CA"/>
        </w:rPr>
      </w:pPr>
      <w:r w:rsidRPr="007263C1">
        <w:rPr>
          <w:lang w:val="fr-CA"/>
        </w:rPr>
        <w:t xml:space="preserve">Le présent rapport dévoile les conclusions qui ressortent de </w:t>
      </w:r>
      <w:r>
        <w:rPr>
          <w:lang w:val="fr-CA"/>
        </w:rPr>
        <w:t>douze</w:t>
      </w:r>
      <w:r w:rsidRPr="007263C1">
        <w:rPr>
          <w:lang w:val="fr-CA"/>
        </w:rPr>
        <w:t xml:space="preserve"> groupes de discussion en ligne organisés entre </w:t>
      </w:r>
      <w:r>
        <w:rPr>
          <w:lang w:val="fr-CA"/>
        </w:rPr>
        <w:t>le</w:t>
      </w:r>
      <w:r w:rsidRPr="00C429BB">
        <w:rPr>
          <w:lang w:val="fr-CA"/>
        </w:rPr>
        <w:t xml:space="preserve"> </w:t>
      </w:r>
      <w:r>
        <w:rPr>
          <w:lang w:val="fr-CA"/>
        </w:rPr>
        <w:t>1</w:t>
      </w:r>
      <w:r w:rsidRPr="00E162EC">
        <w:rPr>
          <w:vertAlign w:val="superscript"/>
          <w:lang w:val="fr-CA"/>
        </w:rPr>
        <w:t>er</w:t>
      </w:r>
      <w:r w:rsidRPr="00C429BB">
        <w:rPr>
          <w:lang w:val="fr-CA"/>
        </w:rPr>
        <w:t xml:space="preserve"> </w:t>
      </w:r>
      <w:r>
        <w:rPr>
          <w:lang w:val="fr-CA"/>
        </w:rPr>
        <w:t>et le</w:t>
      </w:r>
      <w:r w:rsidRPr="00C429BB">
        <w:rPr>
          <w:lang w:val="fr-CA"/>
        </w:rPr>
        <w:t xml:space="preserve"> 2</w:t>
      </w:r>
      <w:r>
        <w:rPr>
          <w:lang w:val="fr-CA"/>
        </w:rPr>
        <w:t>9 octobre</w:t>
      </w:r>
      <w:r w:rsidRPr="00C429BB">
        <w:rPr>
          <w:lang w:val="fr-CA"/>
        </w:rPr>
        <w:t xml:space="preserve"> 2020 </w:t>
      </w:r>
      <w:r w:rsidRPr="007263C1">
        <w:rPr>
          <w:lang w:val="fr-CA"/>
        </w:rPr>
        <w:t xml:space="preserve">dans de nombreuses localités du pays, </w:t>
      </w:r>
      <w:r>
        <w:rPr>
          <w:lang w:val="fr-CA"/>
        </w:rPr>
        <w:t xml:space="preserve">au Canada </w:t>
      </w:r>
      <w:r>
        <w:rPr>
          <w:lang w:val="fr-CA"/>
        </w:rPr>
        <w:lastRenderedPageBreak/>
        <w:t xml:space="preserve">atlantique, </w:t>
      </w:r>
      <w:r w:rsidRPr="007263C1">
        <w:rPr>
          <w:lang w:val="fr-CA"/>
        </w:rPr>
        <w:t>au Québec, en Ontario</w:t>
      </w:r>
      <w:r>
        <w:rPr>
          <w:lang w:val="fr-CA"/>
        </w:rPr>
        <w:t>,</w:t>
      </w:r>
      <w:r w:rsidRPr="002F2E8E">
        <w:rPr>
          <w:lang w:val="fr-CA"/>
        </w:rPr>
        <w:t xml:space="preserve"> </w:t>
      </w:r>
      <w:r>
        <w:rPr>
          <w:lang w:val="fr-CA"/>
        </w:rPr>
        <w:t>au Manitoba,</w:t>
      </w:r>
      <w:r w:rsidRPr="007263C1">
        <w:rPr>
          <w:lang w:val="fr-CA"/>
        </w:rPr>
        <w:t xml:space="preserve"> en Alberta et </w:t>
      </w:r>
      <w:r>
        <w:rPr>
          <w:lang w:val="fr-CA"/>
        </w:rPr>
        <w:t>dans les Territoires du Nord-Ouest.</w:t>
      </w:r>
      <w:r w:rsidRPr="007263C1">
        <w:rPr>
          <w:lang w:val="fr-CA"/>
        </w:rPr>
        <w:t xml:space="preserve"> Les détails concernant les lieux, le recrutement et la composition des groupes figurent ci-</w:t>
      </w:r>
      <w:r>
        <w:rPr>
          <w:lang w:val="fr-CA"/>
        </w:rPr>
        <w:t>après.</w:t>
      </w:r>
    </w:p>
    <w:p w14:paraId="7F9EAA9A" w14:textId="77777777" w:rsidR="00CA41A3" w:rsidRPr="003D4CF7" w:rsidRDefault="00CA41A3" w:rsidP="00CA41A3">
      <w:pPr>
        <w:rPr>
          <w:lang w:val="fr-CA"/>
        </w:rPr>
      </w:pPr>
      <w:r w:rsidRPr="009F55B7">
        <w:rPr>
          <w:lang w:val="fr-CA"/>
        </w:rPr>
        <w:t>Ce cycle de groupes de discussion, tenu alors que la pandémie se poursuivait au Canada, a surtout porté sur la COVID-19</w:t>
      </w:r>
      <w:r w:rsidRPr="003D4CF7">
        <w:rPr>
          <w:lang w:val="fr-CA"/>
        </w:rPr>
        <w:t xml:space="preserve">. </w:t>
      </w:r>
      <w:r>
        <w:rPr>
          <w:lang w:val="fr-CA"/>
        </w:rPr>
        <w:t xml:space="preserve">La recherche a permis d’explorer à fond diverses questions </w:t>
      </w:r>
      <w:proofErr w:type="spellStart"/>
      <w:r>
        <w:rPr>
          <w:lang w:val="fr-CA"/>
        </w:rPr>
        <w:t>interreliées</w:t>
      </w:r>
      <w:proofErr w:type="spellEnd"/>
      <w:r>
        <w:rPr>
          <w:lang w:val="fr-CA"/>
        </w:rPr>
        <w:t>, dont</w:t>
      </w:r>
      <w:r w:rsidRPr="00404EBA">
        <w:rPr>
          <w:lang w:val="fr-CA"/>
        </w:rPr>
        <w:t xml:space="preserve"> ce que les Canadiens entendent aux nouvelles sur le gouvernement du Canada, ce qu’ils pensent de la gestion</w:t>
      </w:r>
      <w:r>
        <w:rPr>
          <w:lang w:val="fr-CA"/>
        </w:rPr>
        <w:t xml:space="preserve"> fédérale</w:t>
      </w:r>
      <w:r w:rsidRPr="00404EBA">
        <w:rPr>
          <w:lang w:val="fr-CA"/>
        </w:rPr>
        <w:t xml:space="preserve"> de la pandémie et </w:t>
      </w:r>
      <w:r>
        <w:rPr>
          <w:lang w:val="fr-CA"/>
        </w:rPr>
        <w:t>l’évolution de leurs</w:t>
      </w:r>
      <w:r w:rsidRPr="00404EBA">
        <w:rPr>
          <w:lang w:val="fr-CA"/>
        </w:rPr>
        <w:t xml:space="preserve"> comportements. </w:t>
      </w:r>
      <w:r>
        <w:rPr>
          <w:lang w:val="fr-CA"/>
        </w:rPr>
        <w:t xml:space="preserve">Elle </w:t>
      </w:r>
      <w:r w:rsidRPr="00404EBA">
        <w:rPr>
          <w:lang w:val="fr-CA"/>
        </w:rPr>
        <w:t xml:space="preserve">a également porté sur les points d’intersection entre la COVID-19 et l’économie, en particulier </w:t>
      </w:r>
      <w:r>
        <w:rPr>
          <w:lang w:val="fr-CA"/>
        </w:rPr>
        <w:t>le</w:t>
      </w:r>
      <w:r w:rsidRPr="00404EBA">
        <w:rPr>
          <w:lang w:val="fr-CA"/>
        </w:rPr>
        <w:t>s soutiens financiers fédéraux et l</w:t>
      </w:r>
      <w:r>
        <w:rPr>
          <w:lang w:val="fr-CA"/>
        </w:rPr>
        <w:t xml:space="preserve">e passage </w:t>
      </w:r>
      <w:r w:rsidRPr="00404EBA">
        <w:rPr>
          <w:lang w:val="fr-CA"/>
        </w:rPr>
        <w:t xml:space="preserve">de la Prestation canadienne d’urgence (PCU) </w:t>
      </w:r>
      <w:r>
        <w:rPr>
          <w:lang w:val="fr-CA"/>
        </w:rPr>
        <w:t>à</w:t>
      </w:r>
      <w:r w:rsidRPr="00404EBA">
        <w:rPr>
          <w:lang w:val="fr-CA"/>
        </w:rPr>
        <w:t xml:space="preserve"> l’assurance-emploi (AE) et</w:t>
      </w:r>
      <w:r>
        <w:rPr>
          <w:lang w:val="fr-CA"/>
        </w:rPr>
        <w:t xml:space="preserve"> à</w:t>
      </w:r>
      <w:r w:rsidRPr="00404EBA">
        <w:rPr>
          <w:lang w:val="fr-CA"/>
        </w:rPr>
        <w:t xml:space="preserve"> trois autres prestations de relance. Deux concepts créatifs </w:t>
      </w:r>
      <w:r>
        <w:rPr>
          <w:lang w:val="fr-CA"/>
        </w:rPr>
        <w:t>visant</w:t>
      </w:r>
      <w:r w:rsidRPr="00404EBA">
        <w:rPr>
          <w:lang w:val="fr-CA"/>
        </w:rPr>
        <w:t xml:space="preserve"> à </w:t>
      </w:r>
      <w:r>
        <w:rPr>
          <w:lang w:val="fr-CA"/>
        </w:rPr>
        <w:t>renseigner</w:t>
      </w:r>
      <w:r w:rsidRPr="00404EBA">
        <w:rPr>
          <w:lang w:val="fr-CA"/>
        </w:rPr>
        <w:t xml:space="preserve"> les Canadiens sur </w:t>
      </w:r>
      <w:r>
        <w:rPr>
          <w:lang w:val="fr-CA"/>
        </w:rPr>
        <w:t>c</w:t>
      </w:r>
      <w:r w:rsidRPr="00404EBA">
        <w:rPr>
          <w:lang w:val="fr-CA"/>
        </w:rPr>
        <w:t>es</w:t>
      </w:r>
      <w:r>
        <w:rPr>
          <w:lang w:val="fr-CA"/>
        </w:rPr>
        <w:t xml:space="preserve"> récentes</w:t>
      </w:r>
      <w:r w:rsidRPr="00404EBA">
        <w:rPr>
          <w:lang w:val="fr-CA"/>
        </w:rPr>
        <w:t xml:space="preserve"> prestations</w:t>
      </w:r>
      <w:r>
        <w:rPr>
          <w:lang w:val="fr-CA"/>
        </w:rPr>
        <w:t xml:space="preserve"> </w:t>
      </w:r>
      <w:r w:rsidRPr="00404EBA">
        <w:rPr>
          <w:lang w:val="fr-CA"/>
        </w:rPr>
        <w:t xml:space="preserve">ont été évalués dans plusieurs groupes au milieu du mois. Plus tard en octobre, les participants ont </w:t>
      </w:r>
      <w:r>
        <w:rPr>
          <w:lang w:val="fr-CA"/>
        </w:rPr>
        <w:t>eu à se prononcer sur l’application Alerte COVID</w:t>
      </w:r>
      <w:r w:rsidRPr="00404EBA">
        <w:rPr>
          <w:lang w:val="fr-CA"/>
        </w:rPr>
        <w:t xml:space="preserve"> </w:t>
      </w:r>
      <w:r>
        <w:rPr>
          <w:lang w:val="fr-CA"/>
        </w:rPr>
        <w:t>et à discuter des noms possibles pour de nouveaux programmes d’emploi et de formation destinés aux jeunes.</w:t>
      </w:r>
      <w:r w:rsidRPr="003D4CF7">
        <w:rPr>
          <w:lang w:val="fr-CA"/>
        </w:rPr>
        <w:t xml:space="preserve"> </w:t>
      </w:r>
    </w:p>
    <w:p w14:paraId="0503D51A" w14:textId="77777777" w:rsidR="00CA41A3" w:rsidRPr="003D4CF7" w:rsidRDefault="00CA41A3" w:rsidP="00CA41A3">
      <w:pPr>
        <w:rPr>
          <w:lang w:val="fr-CA"/>
        </w:rPr>
      </w:pPr>
      <w:r w:rsidRPr="00404EBA">
        <w:rPr>
          <w:lang w:val="fr-CA"/>
        </w:rPr>
        <w:t xml:space="preserve">Outre les questions liées à la pandémie, la discussion a englobé d’autres sujets tels que le discours du Trône, la pêche en Nouvelle-Écosse, le racisme, les questions autochtones, la désaffection de l’Ouest, les questions d’intérêt local et les véhicules </w:t>
      </w:r>
      <w:r>
        <w:rPr>
          <w:lang w:val="fr-CA"/>
        </w:rPr>
        <w:t>zéro</w:t>
      </w:r>
      <w:r w:rsidRPr="00404EBA">
        <w:rPr>
          <w:lang w:val="fr-CA"/>
        </w:rPr>
        <w:t xml:space="preserve"> émission (</w:t>
      </w:r>
      <w:r>
        <w:rPr>
          <w:lang w:val="fr-CA"/>
        </w:rPr>
        <w:t>VZE</w:t>
      </w:r>
      <w:r w:rsidRPr="00404EBA">
        <w:rPr>
          <w:lang w:val="fr-CA"/>
        </w:rPr>
        <w:t>).</w:t>
      </w:r>
      <w:r w:rsidRPr="003D4CF7">
        <w:rPr>
          <w:lang w:val="fr-CA"/>
        </w:rPr>
        <w:t xml:space="preserve"> </w:t>
      </w:r>
    </w:p>
    <w:p w14:paraId="51717ED2" w14:textId="7F13035C" w:rsidR="00974C73" w:rsidRPr="00623049" w:rsidRDefault="00CA41A3" w:rsidP="00CA41A3">
      <w:pPr>
        <w:rPr>
          <w:lang w:val="fr-CA"/>
        </w:rPr>
      </w:pPr>
      <w:r w:rsidRPr="007263C1">
        <w:rPr>
          <w:lang w:val="fr-CA"/>
        </w:rPr>
        <w:t>Il convient de souligner que les résultats de la présente étude doivent être interprétés avec prudence, les conclusions d’une recherche qualitative étant de nature directionnelle et ne pouvant être attribuées à l’ensemble de la population à l’étude avec un quelconque degré de certitude</w:t>
      </w:r>
      <w:r w:rsidR="00974C73" w:rsidRPr="00623049">
        <w:rPr>
          <w:lang w:val="fr-CA"/>
        </w:rPr>
        <w:t>.</w:t>
      </w:r>
      <w:bookmarkEnd w:id="1"/>
    </w:p>
    <w:p w14:paraId="0A1B31AF" w14:textId="77777777" w:rsidR="00974C73" w:rsidRPr="00623049" w:rsidRDefault="00974C73" w:rsidP="00974C73">
      <w:pPr>
        <w:pStyle w:val="Heading1"/>
        <w:rPr>
          <w:lang w:val="fr-CA"/>
        </w:rPr>
      </w:pPr>
      <w:bookmarkStart w:id="2" w:name="lt_pId055"/>
      <w:r w:rsidRPr="00623049">
        <w:rPr>
          <w:lang w:val="fr-CA"/>
        </w:rPr>
        <w:t>Méthodologie</w:t>
      </w:r>
      <w:bookmarkEnd w:id="2"/>
    </w:p>
    <w:p w14:paraId="504DAF8F" w14:textId="77777777" w:rsidR="00974C73" w:rsidRPr="007263C1" w:rsidRDefault="00974C73" w:rsidP="00974C73">
      <w:pPr>
        <w:rPr>
          <w:rFonts w:ascii="Segoe UI Light" w:hAnsi="Segoe UI Light" w:cs="Calibri Light"/>
          <w:b/>
          <w:sz w:val="44"/>
          <w:lang w:val="fr-CA"/>
        </w:rPr>
      </w:pPr>
      <w:r w:rsidRPr="007263C1">
        <w:rPr>
          <w:b/>
          <w:lang w:val="fr-CA"/>
        </w:rPr>
        <w:t>Aperçu des groupes</w:t>
      </w:r>
    </w:p>
    <w:p w14:paraId="4F54E880" w14:textId="77777777" w:rsidR="00974C73" w:rsidRPr="007263C1" w:rsidRDefault="00974C73" w:rsidP="00974C73">
      <w:pPr>
        <w:rPr>
          <w:lang w:val="fr-CA"/>
        </w:rPr>
      </w:pPr>
      <w:bookmarkStart w:id="3" w:name="lt_pId057"/>
      <w:r w:rsidRPr="007263C1">
        <w:rPr>
          <w:lang w:val="fr-CA"/>
        </w:rPr>
        <w:t>Public cible</w:t>
      </w:r>
      <w:bookmarkEnd w:id="3"/>
    </w:p>
    <w:p w14:paraId="7C72A80F" w14:textId="77777777" w:rsidR="0058733E" w:rsidRPr="007263C1" w:rsidRDefault="0058733E" w:rsidP="0058733E">
      <w:pPr>
        <w:numPr>
          <w:ilvl w:val="0"/>
          <w:numId w:val="2"/>
        </w:numPr>
        <w:spacing w:line="256" w:lineRule="auto"/>
        <w:contextualSpacing/>
        <w:rPr>
          <w:lang w:val="fr-CA"/>
        </w:rPr>
      </w:pPr>
      <w:bookmarkStart w:id="4" w:name="lt_pId058"/>
      <w:bookmarkStart w:id="5" w:name="lt_pId060"/>
      <w:r w:rsidRPr="007263C1">
        <w:rPr>
          <w:lang w:val="fr-CA"/>
        </w:rPr>
        <w:t>Résidents canadiens de 18 ans et plus</w:t>
      </w:r>
      <w:bookmarkEnd w:id="4"/>
      <w:r w:rsidRPr="007263C1">
        <w:rPr>
          <w:lang w:val="fr-CA"/>
        </w:rPr>
        <w:t>.</w:t>
      </w:r>
    </w:p>
    <w:p w14:paraId="66839909" w14:textId="77777777" w:rsidR="0040455C" w:rsidRDefault="0058733E" w:rsidP="0040455C">
      <w:pPr>
        <w:numPr>
          <w:ilvl w:val="0"/>
          <w:numId w:val="2"/>
        </w:numPr>
        <w:spacing w:line="256" w:lineRule="auto"/>
        <w:contextualSpacing/>
        <w:rPr>
          <w:lang w:val="fr-CA"/>
        </w:rPr>
      </w:pPr>
      <w:bookmarkStart w:id="6" w:name="lt_pId061"/>
      <w:r w:rsidRPr="007263C1">
        <w:rPr>
          <w:lang w:val="fr-CA"/>
        </w:rPr>
        <w:t xml:space="preserve">Les groupes ont été formés en fonction du lieu. </w:t>
      </w:r>
      <w:bookmarkEnd w:id="6"/>
    </w:p>
    <w:p w14:paraId="55CEA6A7" w14:textId="180A4D04" w:rsidR="00974C73" w:rsidRPr="0040455C" w:rsidRDefault="00CA41A3" w:rsidP="0040455C">
      <w:pPr>
        <w:numPr>
          <w:ilvl w:val="0"/>
          <w:numId w:val="2"/>
        </w:numPr>
        <w:spacing w:line="256" w:lineRule="auto"/>
        <w:contextualSpacing/>
        <w:rPr>
          <w:lang w:val="fr-CA"/>
        </w:rPr>
      </w:pPr>
      <w:r w:rsidRPr="007263C1">
        <w:rPr>
          <w:lang w:val="fr-CA"/>
        </w:rPr>
        <w:t>Certains groupes se composaient de répondants appartenant à des sous-groupes de la population</w:t>
      </w:r>
      <w:r>
        <w:rPr>
          <w:lang w:val="fr-CA"/>
        </w:rPr>
        <w:t xml:space="preserve">, par exemple des Canadiens </w:t>
      </w:r>
      <w:proofErr w:type="spellStart"/>
      <w:r>
        <w:rPr>
          <w:lang w:val="fr-CA"/>
        </w:rPr>
        <w:t>racialisés</w:t>
      </w:r>
      <w:proofErr w:type="spellEnd"/>
      <w:r>
        <w:rPr>
          <w:lang w:val="fr-CA"/>
        </w:rPr>
        <w:t>, des personnes autochtones et des bénéficiaires de l’assurance-emploi ou d’autres prestations</w:t>
      </w:r>
      <w:r w:rsidR="00974C73" w:rsidRPr="0040455C">
        <w:rPr>
          <w:lang w:val="fr-CA"/>
        </w:rPr>
        <w:t>.</w:t>
      </w:r>
      <w:bookmarkEnd w:id="5"/>
    </w:p>
    <w:p w14:paraId="1262F444" w14:textId="77777777" w:rsidR="0040455C" w:rsidRDefault="0040455C" w:rsidP="00974C73">
      <w:pPr>
        <w:rPr>
          <w:lang w:val="fr-CA"/>
        </w:rPr>
      </w:pPr>
    </w:p>
    <w:p w14:paraId="5FFCADE4" w14:textId="77777777" w:rsidR="00974C73" w:rsidRPr="007263C1" w:rsidRDefault="00974C73" w:rsidP="00974C73">
      <w:pPr>
        <w:rPr>
          <w:b/>
          <w:lang w:val="fr-CA"/>
        </w:rPr>
      </w:pPr>
      <w:r w:rsidRPr="007263C1">
        <w:rPr>
          <w:b/>
          <w:lang w:val="fr-CA"/>
        </w:rPr>
        <w:t>Approche détaillée</w:t>
      </w:r>
    </w:p>
    <w:p w14:paraId="3C157A37" w14:textId="77777777" w:rsidR="0058733E" w:rsidRPr="0001346F" w:rsidRDefault="0058733E" w:rsidP="0058733E">
      <w:pPr>
        <w:numPr>
          <w:ilvl w:val="0"/>
          <w:numId w:val="2"/>
        </w:numPr>
        <w:spacing w:line="256" w:lineRule="auto"/>
        <w:contextualSpacing/>
        <w:rPr>
          <w:lang w:val="fr-CA"/>
        </w:rPr>
      </w:pPr>
      <w:r w:rsidRPr="007263C1">
        <w:rPr>
          <w:lang w:val="fr-CA"/>
        </w:rPr>
        <w:t>Douze groupes de discussion dans diverses régions du Canada</w:t>
      </w:r>
      <w:r>
        <w:rPr>
          <w:lang w:val="fr-CA"/>
        </w:rPr>
        <w:t>.</w:t>
      </w:r>
    </w:p>
    <w:p w14:paraId="61277FE9" w14:textId="77777777" w:rsidR="00CA41A3" w:rsidRPr="003D4CF7" w:rsidRDefault="00CA41A3" w:rsidP="00CA41A3">
      <w:pPr>
        <w:numPr>
          <w:ilvl w:val="0"/>
          <w:numId w:val="2"/>
        </w:numPr>
        <w:spacing w:line="256" w:lineRule="auto"/>
        <w:contextualSpacing/>
        <w:rPr>
          <w:rFonts w:cs="Segoe UI"/>
          <w:szCs w:val="20"/>
          <w:lang w:val="fr-CA"/>
        </w:rPr>
      </w:pPr>
      <w:r>
        <w:rPr>
          <w:lang w:val="fr-CA"/>
        </w:rPr>
        <w:t xml:space="preserve">Sept groupes de discussion </w:t>
      </w:r>
      <w:bookmarkStart w:id="7" w:name="_Hlk58828061"/>
      <w:r>
        <w:rPr>
          <w:lang w:val="fr-CA"/>
        </w:rPr>
        <w:t xml:space="preserve">se composaient </w:t>
      </w:r>
      <w:bookmarkEnd w:id="7"/>
      <w:r>
        <w:rPr>
          <w:lang w:val="fr-CA"/>
        </w:rPr>
        <w:t>de membres de la population générale habitant : en Nouvelle-Écosse, dans la ville de Québec, dans le nord de l’Alberta, au Manitoba, à</w:t>
      </w:r>
      <w:r w:rsidRPr="003D4CF7">
        <w:rPr>
          <w:rFonts w:cs="Segoe UI"/>
          <w:lang w:val="fr-CA"/>
        </w:rPr>
        <w:t xml:space="preserve"> </w:t>
      </w:r>
      <w:r w:rsidRPr="003D4CF7">
        <w:rPr>
          <w:rFonts w:cs="Segoe UI"/>
          <w:szCs w:val="20"/>
          <w:lang w:val="fr-CA"/>
        </w:rPr>
        <w:t xml:space="preserve">Yellowknife, </w:t>
      </w:r>
      <w:r>
        <w:rPr>
          <w:rFonts w:cs="Segoe UI"/>
          <w:szCs w:val="20"/>
          <w:lang w:val="fr-CA"/>
        </w:rPr>
        <w:t>dans les régions d’</w:t>
      </w:r>
      <w:r w:rsidRPr="003D4CF7">
        <w:rPr>
          <w:rFonts w:cs="Segoe UI"/>
          <w:kern w:val="18"/>
          <w:szCs w:val="20"/>
          <w:lang w:val="fr-CA"/>
        </w:rPr>
        <w:t>Ottawa-Carleton, Toronto</w:t>
      </w:r>
      <w:r>
        <w:rPr>
          <w:rFonts w:cs="Segoe UI"/>
          <w:kern w:val="18"/>
          <w:szCs w:val="20"/>
          <w:lang w:val="fr-CA"/>
        </w:rPr>
        <w:t xml:space="preserve"> et </w:t>
      </w:r>
      <w:r w:rsidRPr="003D4CF7">
        <w:rPr>
          <w:rFonts w:cs="Segoe UI"/>
          <w:kern w:val="18"/>
          <w:szCs w:val="20"/>
          <w:lang w:val="fr-CA"/>
        </w:rPr>
        <w:t xml:space="preserve">Peel </w:t>
      </w:r>
      <w:r>
        <w:rPr>
          <w:rFonts w:cs="Segoe UI"/>
          <w:szCs w:val="20"/>
          <w:lang w:val="fr-CA"/>
        </w:rPr>
        <w:t>e</w:t>
      </w:r>
      <w:r w:rsidRPr="003D4CF7">
        <w:rPr>
          <w:rFonts w:cs="Segoe UI"/>
          <w:szCs w:val="20"/>
          <w:lang w:val="fr-CA"/>
        </w:rPr>
        <w:t>n Ontario</w:t>
      </w:r>
      <w:r>
        <w:rPr>
          <w:rFonts w:cs="Segoe UI"/>
          <w:szCs w:val="20"/>
          <w:lang w:val="fr-CA"/>
        </w:rPr>
        <w:t xml:space="preserve"> ainsi que dans des villes de taille moyenne du sud et de l’est de l’Ontario.</w:t>
      </w:r>
    </w:p>
    <w:p w14:paraId="4362E828" w14:textId="77777777" w:rsidR="00CA41A3" w:rsidRPr="003D4CF7" w:rsidRDefault="00CA41A3" w:rsidP="00CA41A3">
      <w:pPr>
        <w:numPr>
          <w:ilvl w:val="0"/>
          <w:numId w:val="2"/>
        </w:numPr>
        <w:spacing w:line="256" w:lineRule="auto"/>
        <w:contextualSpacing/>
        <w:rPr>
          <w:lang w:val="fr-CA"/>
        </w:rPr>
      </w:pPr>
      <w:r>
        <w:rPr>
          <w:rFonts w:cs="Segoe UI"/>
          <w:lang w:val="fr-CA"/>
        </w:rPr>
        <w:t>Les cinq autres groupes</w:t>
      </w:r>
      <w:r w:rsidRPr="003D4CF7">
        <w:rPr>
          <w:rFonts w:cs="Segoe UI"/>
          <w:lang w:val="fr-CA"/>
        </w:rPr>
        <w:t xml:space="preserve"> </w:t>
      </w:r>
      <w:r>
        <w:rPr>
          <w:lang w:val="fr-CA"/>
        </w:rPr>
        <w:t>réunissaient des participants appartenant à des sous-groupes particuliers </w:t>
      </w:r>
      <w:r w:rsidRPr="003D4CF7">
        <w:rPr>
          <w:lang w:val="fr-CA"/>
        </w:rPr>
        <w:t>:</w:t>
      </w:r>
    </w:p>
    <w:p w14:paraId="4471308E" w14:textId="77777777" w:rsidR="00CA41A3" w:rsidRPr="003D4CF7" w:rsidRDefault="00CA41A3" w:rsidP="00CA41A3">
      <w:pPr>
        <w:numPr>
          <w:ilvl w:val="1"/>
          <w:numId w:val="2"/>
        </w:numPr>
        <w:spacing w:line="256" w:lineRule="auto"/>
        <w:contextualSpacing/>
        <w:rPr>
          <w:lang w:val="fr-CA"/>
        </w:rPr>
      </w:pPr>
      <w:r>
        <w:rPr>
          <w:lang w:val="fr-CA"/>
        </w:rPr>
        <w:lastRenderedPageBreak/>
        <w:t xml:space="preserve">Des personnes </w:t>
      </w:r>
      <w:proofErr w:type="spellStart"/>
      <w:r>
        <w:rPr>
          <w:lang w:val="fr-CA"/>
        </w:rPr>
        <w:t>racialisées</w:t>
      </w:r>
      <w:proofErr w:type="spellEnd"/>
      <w:r>
        <w:rPr>
          <w:lang w:val="fr-CA"/>
        </w:rPr>
        <w:t xml:space="preserve"> habitant dans la Grande région de Montréal (GRM) et dans la Région du Grand Toronto et de Hamilton (GTHA</w:t>
      </w:r>
      <w:proofErr w:type="gramStart"/>
      <w:r>
        <w:rPr>
          <w:lang w:val="fr-CA"/>
        </w:rPr>
        <w:t>)</w:t>
      </w:r>
      <w:r w:rsidRPr="003D4CF7">
        <w:rPr>
          <w:lang w:val="fr-CA"/>
        </w:rPr>
        <w:t>;</w:t>
      </w:r>
      <w:proofErr w:type="gramEnd"/>
    </w:p>
    <w:p w14:paraId="45609240" w14:textId="77777777" w:rsidR="00CA41A3" w:rsidRPr="003D4CF7" w:rsidRDefault="00CA41A3" w:rsidP="00CA41A3">
      <w:pPr>
        <w:numPr>
          <w:ilvl w:val="1"/>
          <w:numId w:val="2"/>
        </w:numPr>
        <w:spacing w:line="256" w:lineRule="auto"/>
        <w:contextualSpacing/>
        <w:rPr>
          <w:lang w:val="fr-CA"/>
        </w:rPr>
      </w:pPr>
      <w:r>
        <w:rPr>
          <w:lang w:val="fr-CA"/>
        </w:rPr>
        <w:t xml:space="preserve">Des Autochtones habitant dans la région de </w:t>
      </w:r>
      <w:proofErr w:type="gramStart"/>
      <w:r>
        <w:rPr>
          <w:lang w:val="fr-CA"/>
        </w:rPr>
        <w:t>l’Atlantique</w:t>
      </w:r>
      <w:r w:rsidRPr="003D4CF7">
        <w:rPr>
          <w:lang w:val="fr-CA"/>
        </w:rPr>
        <w:t>;</w:t>
      </w:r>
      <w:proofErr w:type="gramEnd"/>
      <w:r w:rsidRPr="003D4CF7">
        <w:rPr>
          <w:lang w:val="fr-CA"/>
        </w:rPr>
        <w:t xml:space="preserve"> </w:t>
      </w:r>
    </w:p>
    <w:p w14:paraId="24D772D9" w14:textId="77777777" w:rsidR="00CA41A3" w:rsidRPr="003D4CF7" w:rsidRDefault="00CA41A3" w:rsidP="00CA41A3">
      <w:pPr>
        <w:numPr>
          <w:ilvl w:val="1"/>
          <w:numId w:val="2"/>
        </w:numPr>
        <w:spacing w:line="256" w:lineRule="auto"/>
        <w:contextualSpacing/>
        <w:rPr>
          <w:lang w:val="fr-CA"/>
        </w:rPr>
      </w:pPr>
      <w:r>
        <w:rPr>
          <w:lang w:val="fr-CA"/>
        </w:rPr>
        <w:t>Des bénéficiaires de l’assurance-emploi (AE) ou de prestations de la relance habitant de grandes villes et des villes de taille moyenne de l’</w:t>
      </w:r>
      <w:r w:rsidRPr="003D4CF7">
        <w:rPr>
          <w:lang w:val="fr-CA"/>
        </w:rPr>
        <w:t xml:space="preserve">Ontario </w:t>
      </w:r>
      <w:r>
        <w:rPr>
          <w:lang w:val="fr-CA"/>
        </w:rPr>
        <w:t>et des villes de taille moyenne du</w:t>
      </w:r>
      <w:r w:rsidRPr="003D4CF7">
        <w:rPr>
          <w:lang w:val="fr-CA"/>
        </w:rPr>
        <w:t xml:space="preserve"> Qu</w:t>
      </w:r>
      <w:r>
        <w:rPr>
          <w:lang w:val="fr-CA"/>
        </w:rPr>
        <w:t>é</w:t>
      </w:r>
      <w:r w:rsidRPr="003D4CF7">
        <w:rPr>
          <w:lang w:val="fr-CA"/>
        </w:rPr>
        <w:t>bec.</w:t>
      </w:r>
    </w:p>
    <w:p w14:paraId="785DC140" w14:textId="77777777" w:rsidR="00CA41A3" w:rsidRPr="005C7FD3" w:rsidRDefault="00CA41A3" w:rsidP="00CA41A3">
      <w:pPr>
        <w:numPr>
          <w:ilvl w:val="0"/>
          <w:numId w:val="2"/>
        </w:numPr>
        <w:spacing w:line="256" w:lineRule="auto"/>
        <w:contextualSpacing/>
        <w:rPr>
          <w:lang w:val="fr-CA"/>
        </w:rPr>
      </w:pPr>
      <w:r w:rsidRPr="009F55B7">
        <w:rPr>
          <w:lang w:val="fr-CA"/>
        </w:rPr>
        <w:t>Les discussions de groupe du Québec se sont déroulées en français, alors que toutes les autres ont eu lieu en anglais.</w:t>
      </w:r>
    </w:p>
    <w:p w14:paraId="3FCBACF6" w14:textId="77777777" w:rsidR="00CA41A3" w:rsidRDefault="00CA41A3" w:rsidP="00CA41A3">
      <w:pPr>
        <w:numPr>
          <w:ilvl w:val="0"/>
          <w:numId w:val="2"/>
        </w:numPr>
        <w:spacing w:line="256" w:lineRule="auto"/>
        <w:contextualSpacing/>
        <w:rPr>
          <w:lang w:val="fr-CA"/>
        </w:rPr>
      </w:pPr>
      <w:r w:rsidRPr="007263C1">
        <w:rPr>
          <w:lang w:val="fr-CA"/>
        </w:rPr>
        <w:t>Pour ce cycle, toutes les rencontres ont eu lieu en ligne</w:t>
      </w:r>
      <w:r>
        <w:rPr>
          <w:lang w:val="fr-CA"/>
        </w:rPr>
        <w:t>.</w:t>
      </w:r>
    </w:p>
    <w:p w14:paraId="03B724D3" w14:textId="77777777" w:rsidR="00CA41A3" w:rsidRPr="003D4CF7" w:rsidRDefault="00CA41A3" w:rsidP="00CA41A3">
      <w:pPr>
        <w:numPr>
          <w:ilvl w:val="0"/>
          <w:numId w:val="2"/>
        </w:numPr>
        <w:spacing w:line="256" w:lineRule="auto"/>
        <w:contextualSpacing/>
        <w:rPr>
          <w:lang w:val="fr-CA"/>
        </w:rPr>
      </w:pPr>
      <w:r w:rsidRPr="007263C1">
        <w:rPr>
          <w:lang w:val="fr-CA"/>
        </w:rPr>
        <w:t>Huit participants ont été recrutés dans chaque groupe, afin de pouvoir compter sur la présence de six à huit personnes</w:t>
      </w:r>
      <w:r>
        <w:rPr>
          <w:lang w:val="fr-CA"/>
        </w:rPr>
        <w:t>.</w:t>
      </w:r>
    </w:p>
    <w:p w14:paraId="240C62C2" w14:textId="77777777" w:rsidR="00CA41A3" w:rsidRDefault="00CA41A3" w:rsidP="00CA41A3">
      <w:pPr>
        <w:numPr>
          <w:ilvl w:val="0"/>
          <w:numId w:val="2"/>
        </w:numPr>
        <w:contextualSpacing/>
        <w:rPr>
          <w:lang w:val="fr-CA"/>
        </w:rPr>
      </w:pPr>
      <w:bookmarkStart w:id="8" w:name="lt_pId070"/>
      <w:r w:rsidRPr="007263C1">
        <w:rPr>
          <w:lang w:val="fr-CA"/>
        </w:rPr>
        <w:t xml:space="preserve">Dans l’ensemble des lieux, </w:t>
      </w:r>
      <w:r>
        <w:rPr>
          <w:lang w:val="fr-CA"/>
        </w:rPr>
        <w:t>80</w:t>
      </w:r>
      <w:r w:rsidRPr="007263C1">
        <w:rPr>
          <w:lang w:val="fr-CA"/>
        </w:rPr>
        <w:t xml:space="preserve"> personnes ont participé aux discussions. Les détails sur le nombre de participants par groupe sont donnés ci-dessous</w:t>
      </w:r>
      <w:bookmarkEnd w:id="8"/>
      <w:r>
        <w:rPr>
          <w:lang w:val="fr-CA"/>
        </w:rPr>
        <w:t>.</w:t>
      </w:r>
    </w:p>
    <w:p w14:paraId="3909DA09" w14:textId="0A35777C" w:rsidR="00974C73" w:rsidRPr="0058733E" w:rsidRDefault="00CA41A3" w:rsidP="00CA41A3">
      <w:pPr>
        <w:numPr>
          <w:ilvl w:val="0"/>
          <w:numId w:val="2"/>
        </w:numPr>
        <w:spacing w:line="256" w:lineRule="auto"/>
        <w:contextualSpacing/>
        <w:rPr>
          <w:lang w:val="fr-CA"/>
        </w:rPr>
      </w:pPr>
      <w:r w:rsidRPr="007263C1">
        <w:rPr>
          <w:lang w:val="fr-CA"/>
        </w:rPr>
        <w:t>Chaque participant a perçu des honoraire</w:t>
      </w:r>
      <w:r>
        <w:rPr>
          <w:lang w:val="fr-CA"/>
        </w:rPr>
        <w:t>s</w:t>
      </w:r>
      <w:r w:rsidRPr="003D4CF7">
        <w:rPr>
          <w:lang w:val="fr-CA"/>
        </w:rPr>
        <w:t xml:space="preserve">. </w:t>
      </w:r>
      <w:r>
        <w:rPr>
          <w:lang w:val="fr-CA"/>
        </w:rPr>
        <w:t xml:space="preserve">Les incitatifs ont varié de 90 $ à 125 $ par personne en fonction du lieu et de la </w:t>
      </w:r>
      <w:r w:rsidRPr="003D4CF7">
        <w:rPr>
          <w:lang w:val="fr-CA"/>
        </w:rPr>
        <w:t xml:space="preserve">composition </w:t>
      </w:r>
      <w:r>
        <w:rPr>
          <w:lang w:val="fr-CA"/>
        </w:rPr>
        <w:t>du groupe</w:t>
      </w:r>
      <w:r w:rsidR="00974C73" w:rsidRPr="0058733E">
        <w:rPr>
          <w:lang w:val="fr-CA"/>
        </w:rPr>
        <w:t>.</w:t>
      </w:r>
    </w:p>
    <w:p w14:paraId="49FE5F57" w14:textId="77777777" w:rsidR="00974C73" w:rsidRDefault="00974C73" w:rsidP="00974C73">
      <w:pPr>
        <w:spacing w:line="256" w:lineRule="auto"/>
        <w:contextualSpacing/>
        <w:rPr>
          <w:b/>
          <w:lang w:val="fr-CA"/>
        </w:rPr>
      </w:pPr>
    </w:p>
    <w:p w14:paraId="3E9C5ECD" w14:textId="77777777" w:rsidR="00974C73" w:rsidRPr="00623049" w:rsidRDefault="00974C73" w:rsidP="00974C73">
      <w:pPr>
        <w:spacing w:line="256" w:lineRule="auto"/>
        <w:contextualSpacing/>
        <w:rPr>
          <w:b/>
          <w:lang w:val="fr-CA"/>
        </w:rPr>
      </w:pPr>
    </w:p>
    <w:p w14:paraId="0FEDC248" w14:textId="77777777" w:rsidR="00974C73" w:rsidRDefault="00974C73" w:rsidP="00974C73">
      <w:pPr>
        <w:spacing w:line="256" w:lineRule="auto"/>
        <w:contextualSpacing/>
        <w:rPr>
          <w:b/>
          <w:lang w:val="fr-CA"/>
        </w:rPr>
      </w:pPr>
      <w:r w:rsidRPr="00B83220">
        <w:rPr>
          <w:b/>
          <w:lang w:val="fr-CA"/>
        </w:rPr>
        <w:t>Emplacement et composition des groupes</w:t>
      </w:r>
    </w:p>
    <w:tbl>
      <w:tblPr>
        <w:tblStyle w:val="TableGrid2"/>
        <w:tblW w:w="9722" w:type="dxa"/>
        <w:tblInd w:w="-431" w:type="dxa"/>
        <w:tblLayout w:type="fixed"/>
        <w:tblLook w:val="04A0" w:firstRow="1" w:lastRow="0" w:firstColumn="1" w:lastColumn="0" w:noHBand="0" w:noVBand="1"/>
      </w:tblPr>
      <w:tblGrid>
        <w:gridCol w:w="2694"/>
        <w:gridCol w:w="993"/>
        <w:gridCol w:w="1134"/>
        <w:gridCol w:w="992"/>
        <w:gridCol w:w="992"/>
        <w:gridCol w:w="1559"/>
        <w:gridCol w:w="1358"/>
      </w:tblGrid>
      <w:tr w:rsidR="00CA41A3" w:rsidRPr="003D4CF7" w14:paraId="567A5E1D" w14:textId="77777777" w:rsidTr="00771C2D">
        <w:trPr>
          <w:trHeight w:val="264"/>
        </w:trPr>
        <w:tc>
          <w:tcPr>
            <w:tcW w:w="2694"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4FB5B10" w14:textId="77777777" w:rsidR="00CA41A3" w:rsidRPr="003D4CF7" w:rsidRDefault="00CA41A3" w:rsidP="00771C2D">
            <w:pPr>
              <w:jc w:val="center"/>
              <w:rPr>
                <w:rFonts w:ascii="Calibri" w:eastAsia="Calibri" w:hAnsi="Calibri" w:cs="Calibri"/>
                <w:b/>
                <w:kern w:val="18"/>
                <w:sz w:val="18"/>
                <w:szCs w:val="18"/>
                <w:lang w:val="fr-CA"/>
              </w:rPr>
            </w:pPr>
            <w:r w:rsidRPr="00941753">
              <w:rPr>
                <w:rFonts w:ascii="Calibri" w:eastAsia="Calibri" w:hAnsi="Calibri" w:cs="Calibri"/>
                <w:b/>
                <w:kern w:val="18"/>
                <w:sz w:val="18"/>
                <w:szCs w:val="18"/>
                <w:lang w:val="fr-CA"/>
              </w:rPr>
              <w:t>LIEU</w:t>
            </w:r>
          </w:p>
        </w:tc>
        <w:tc>
          <w:tcPr>
            <w:tcW w:w="993"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39E12B83" w14:textId="77777777" w:rsidR="00CA41A3" w:rsidRPr="003D4CF7" w:rsidRDefault="00CA41A3" w:rsidP="00771C2D">
            <w:pPr>
              <w:jc w:val="center"/>
              <w:rPr>
                <w:rFonts w:ascii="Calibri" w:eastAsia="Calibri" w:hAnsi="Calibri" w:cs="Calibri"/>
                <w:b/>
                <w:kern w:val="18"/>
                <w:sz w:val="18"/>
                <w:szCs w:val="18"/>
                <w:lang w:val="fr-CA"/>
              </w:rPr>
            </w:pPr>
            <w:r w:rsidRPr="00941753">
              <w:rPr>
                <w:rFonts w:ascii="Calibri" w:eastAsia="Calibri" w:hAnsi="Calibri" w:cs="Calibri"/>
                <w:b/>
                <w:kern w:val="18"/>
                <w:sz w:val="18"/>
                <w:szCs w:val="18"/>
                <w:lang w:val="fr-CA"/>
              </w:rPr>
              <w:t>GROUPE</w:t>
            </w:r>
          </w:p>
        </w:tc>
        <w:tc>
          <w:tcPr>
            <w:tcW w:w="1134"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E4F0AFF" w14:textId="77777777" w:rsidR="00CA41A3" w:rsidRPr="003D4CF7" w:rsidRDefault="00CA41A3" w:rsidP="00771C2D">
            <w:pPr>
              <w:jc w:val="center"/>
              <w:rPr>
                <w:rFonts w:ascii="Calibri" w:eastAsia="Calibri" w:hAnsi="Calibri" w:cs="Calibri"/>
                <w:b/>
                <w:kern w:val="18"/>
                <w:sz w:val="18"/>
                <w:szCs w:val="18"/>
                <w:lang w:val="fr-CA"/>
              </w:rPr>
            </w:pPr>
            <w:r w:rsidRPr="00941753">
              <w:rPr>
                <w:rFonts w:ascii="Calibri" w:eastAsia="Calibri" w:hAnsi="Calibri" w:cs="Calibri"/>
                <w:b/>
                <w:kern w:val="18"/>
                <w:sz w:val="18"/>
                <w:szCs w:val="18"/>
                <w:lang w:val="fr-CA"/>
              </w:rPr>
              <w:t>LANGUE</w:t>
            </w:r>
          </w:p>
        </w:tc>
        <w:tc>
          <w:tcPr>
            <w:tcW w:w="99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09659A47" w14:textId="77777777" w:rsidR="00CA41A3" w:rsidRPr="003D4CF7" w:rsidRDefault="00CA41A3" w:rsidP="00771C2D">
            <w:pPr>
              <w:jc w:val="center"/>
              <w:rPr>
                <w:rFonts w:ascii="Calibri" w:eastAsia="Calibri" w:hAnsi="Calibri" w:cs="Calibri"/>
                <w:b/>
                <w:kern w:val="18"/>
                <w:sz w:val="18"/>
                <w:szCs w:val="18"/>
                <w:lang w:val="fr-CA"/>
              </w:rPr>
            </w:pPr>
            <w:r w:rsidRPr="00941753">
              <w:rPr>
                <w:rFonts w:ascii="Calibri" w:eastAsia="Calibri" w:hAnsi="Calibri" w:cs="Calibri"/>
                <w:b/>
                <w:kern w:val="18"/>
                <w:sz w:val="18"/>
                <w:szCs w:val="18"/>
                <w:lang w:val="fr-CA"/>
              </w:rPr>
              <w:t>DATE</w:t>
            </w:r>
          </w:p>
        </w:tc>
        <w:tc>
          <w:tcPr>
            <w:tcW w:w="992"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19DC4DC4" w14:textId="77777777" w:rsidR="00CA41A3" w:rsidRPr="003D4CF7" w:rsidRDefault="00CA41A3" w:rsidP="00771C2D">
            <w:pPr>
              <w:jc w:val="center"/>
              <w:rPr>
                <w:rFonts w:ascii="Calibri" w:eastAsia="Calibri" w:hAnsi="Calibri" w:cs="Calibri"/>
                <w:b/>
                <w:kern w:val="18"/>
                <w:sz w:val="18"/>
                <w:szCs w:val="18"/>
                <w:lang w:val="fr-CA"/>
              </w:rPr>
            </w:pPr>
            <w:r w:rsidRPr="00941753">
              <w:rPr>
                <w:rFonts w:ascii="Calibri" w:eastAsia="Calibri" w:hAnsi="Calibri" w:cs="Calibri"/>
                <w:b/>
                <w:kern w:val="18"/>
                <w:sz w:val="18"/>
                <w:szCs w:val="18"/>
                <w:lang w:val="fr-CA"/>
              </w:rPr>
              <w:t>HEURE (HNE)</w:t>
            </w:r>
          </w:p>
        </w:tc>
        <w:tc>
          <w:tcPr>
            <w:tcW w:w="1559"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33A025FB" w14:textId="77777777" w:rsidR="00CA41A3" w:rsidRPr="003D4CF7" w:rsidRDefault="00CA41A3" w:rsidP="00771C2D">
            <w:pPr>
              <w:jc w:val="center"/>
              <w:rPr>
                <w:rFonts w:ascii="Calibri" w:eastAsia="Calibri" w:hAnsi="Calibri" w:cs="Calibri"/>
                <w:b/>
                <w:kern w:val="18"/>
                <w:sz w:val="18"/>
                <w:szCs w:val="18"/>
                <w:lang w:val="fr-CA"/>
              </w:rPr>
            </w:pPr>
            <w:r w:rsidRPr="00941753">
              <w:rPr>
                <w:rFonts w:ascii="Calibri" w:eastAsia="Calibri" w:hAnsi="Calibri" w:cs="Calibri"/>
                <w:b/>
                <w:kern w:val="18"/>
                <w:sz w:val="18"/>
                <w:szCs w:val="18"/>
                <w:lang w:val="fr-CA"/>
              </w:rPr>
              <w:t>COMPOSITION DU GROUPE</w:t>
            </w:r>
          </w:p>
        </w:tc>
        <w:tc>
          <w:tcPr>
            <w:tcW w:w="1358" w:type="dxa"/>
            <w:tcBorders>
              <w:top w:val="single" w:sz="4" w:space="0" w:color="E1E1E1"/>
              <w:left w:val="single" w:sz="4" w:space="0" w:color="E1E1E1"/>
              <w:bottom w:val="single" w:sz="4" w:space="0" w:color="E1E1E1"/>
              <w:right w:val="single" w:sz="4" w:space="0" w:color="E1E1E1"/>
            </w:tcBorders>
            <w:shd w:val="clear" w:color="auto" w:fill="F2F2F2"/>
            <w:vAlign w:val="center"/>
          </w:tcPr>
          <w:p w14:paraId="21DDD67E" w14:textId="77777777" w:rsidR="00CA41A3" w:rsidRPr="003D4CF7" w:rsidRDefault="00CA41A3" w:rsidP="00771C2D">
            <w:pPr>
              <w:jc w:val="center"/>
              <w:rPr>
                <w:rFonts w:ascii="Calibri" w:eastAsia="Calibri" w:hAnsi="Calibri" w:cs="Calibri"/>
                <w:b/>
                <w:kern w:val="18"/>
                <w:sz w:val="18"/>
                <w:szCs w:val="18"/>
                <w:lang w:val="fr-CA"/>
              </w:rPr>
            </w:pPr>
            <w:r w:rsidRPr="00941753">
              <w:rPr>
                <w:rFonts w:ascii="Calibri" w:eastAsia="Calibri" w:hAnsi="Calibri" w:cs="Calibri"/>
                <w:b/>
                <w:kern w:val="18"/>
                <w:sz w:val="18"/>
                <w:szCs w:val="18"/>
                <w:lang w:val="fr-CA"/>
              </w:rPr>
              <w:t>NOMBRE DE PARTICIPANTS</w:t>
            </w:r>
          </w:p>
        </w:tc>
      </w:tr>
      <w:tr w:rsidR="00CA41A3" w:rsidRPr="003D4CF7" w14:paraId="05154870" w14:textId="77777777" w:rsidTr="00771C2D">
        <w:trPr>
          <w:trHeight w:val="272"/>
        </w:trPr>
        <w:tc>
          <w:tcPr>
            <w:tcW w:w="2694" w:type="dxa"/>
            <w:tcBorders>
              <w:top w:val="single" w:sz="4" w:space="0" w:color="E1E1E1"/>
              <w:left w:val="single" w:sz="4" w:space="0" w:color="E1E1E1"/>
              <w:bottom w:val="single" w:sz="4" w:space="0" w:color="E1E1E1"/>
              <w:right w:val="single" w:sz="4" w:space="0" w:color="E1E1E1"/>
            </w:tcBorders>
            <w:vAlign w:val="center"/>
          </w:tcPr>
          <w:p w14:paraId="2F795D2C" w14:textId="77777777" w:rsidR="00CA41A3" w:rsidRPr="003D4CF7" w:rsidRDefault="00CA41A3" w:rsidP="00771C2D">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Nouvelle-Écosse</w:t>
            </w:r>
          </w:p>
        </w:tc>
        <w:tc>
          <w:tcPr>
            <w:tcW w:w="993" w:type="dxa"/>
            <w:tcBorders>
              <w:top w:val="single" w:sz="4" w:space="0" w:color="E1E1E1"/>
              <w:left w:val="single" w:sz="4" w:space="0" w:color="E1E1E1"/>
              <w:bottom w:val="single" w:sz="4" w:space="0" w:color="E1E1E1"/>
              <w:right w:val="single" w:sz="4" w:space="0" w:color="E1E1E1"/>
            </w:tcBorders>
            <w:vAlign w:val="center"/>
          </w:tcPr>
          <w:p w14:paraId="5DF82445" w14:textId="77777777" w:rsidR="00CA41A3" w:rsidRPr="003D4CF7" w:rsidRDefault="00CA41A3" w:rsidP="00771C2D">
            <w:pPr>
              <w:jc w:val="center"/>
              <w:rPr>
                <w:rFonts w:asciiTheme="minorHAnsi" w:eastAsia="Calibri" w:hAnsiTheme="minorHAnsi" w:cstheme="minorHAnsi"/>
                <w:kern w:val="18"/>
                <w:sz w:val="18"/>
                <w:szCs w:val="18"/>
                <w:lang w:val="fr-CA"/>
              </w:rPr>
            </w:pPr>
            <w:r w:rsidRPr="003D4CF7">
              <w:rPr>
                <w:rFonts w:asciiTheme="minorHAnsi" w:eastAsia="Calibri" w:hAnsiTheme="minorHAnsi" w:cstheme="minorHAnsi"/>
                <w:kern w:val="18"/>
                <w:sz w:val="18"/>
                <w:szCs w:val="18"/>
                <w:lang w:val="fr-CA"/>
              </w:rPr>
              <w:t>1</w:t>
            </w:r>
          </w:p>
        </w:tc>
        <w:tc>
          <w:tcPr>
            <w:tcW w:w="1134" w:type="dxa"/>
            <w:tcBorders>
              <w:top w:val="single" w:sz="4" w:space="0" w:color="E1E1E1"/>
              <w:left w:val="single" w:sz="4" w:space="0" w:color="E1E1E1"/>
              <w:bottom w:val="single" w:sz="4" w:space="0" w:color="E1E1E1"/>
              <w:right w:val="single" w:sz="4" w:space="0" w:color="E1E1E1"/>
            </w:tcBorders>
            <w:vAlign w:val="center"/>
          </w:tcPr>
          <w:p w14:paraId="13944941" w14:textId="77777777" w:rsidR="00CA41A3" w:rsidRPr="003D4CF7" w:rsidRDefault="00CA41A3" w:rsidP="00771C2D">
            <w:pPr>
              <w:jc w:val="center"/>
              <w:rPr>
                <w:rFonts w:asciiTheme="minorHAnsi" w:eastAsia="Calibri" w:hAnsiTheme="minorHAnsi" w:cstheme="minorHAnsi"/>
                <w:kern w:val="18"/>
                <w:sz w:val="18"/>
                <w:szCs w:val="18"/>
                <w:lang w:val="fr-CA"/>
              </w:rPr>
            </w:pPr>
            <w:r w:rsidRPr="00941753">
              <w:rPr>
                <w:rFonts w:ascii="Calibri" w:eastAsia="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3ACB0274" w14:textId="77777777" w:rsidR="00CA41A3" w:rsidRPr="003D4CF7" w:rsidRDefault="00CA41A3" w:rsidP="00771C2D">
            <w:pPr>
              <w:jc w:val="center"/>
              <w:rPr>
                <w:rFonts w:asciiTheme="minorHAnsi" w:eastAsia="Calibri" w:hAnsiTheme="minorHAnsi" w:cstheme="minorHAnsi"/>
                <w:kern w:val="18"/>
                <w:sz w:val="18"/>
                <w:szCs w:val="18"/>
                <w:lang w:val="fr-CA"/>
              </w:rPr>
            </w:pPr>
            <w:r w:rsidRPr="003D4CF7">
              <w:rPr>
                <w:rFonts w:asciiTheme="minorHAnsi" w:eastAsia="Calibri" w:hAnsiTheme="minorHAnsi" w:cstheme="minorHAnsi"/>
                <w:kern w:val="18"/>
                <w:sz w:val="18"/>
                <w:szCs w:val="18"/>
                <w:lang w:val="fr-CA"/>
              </w:rPr>
              <w:t>1</w:t>
            </w:r>
            <w:r w:rsidRPr="005C7FD3">
              <w:rPr>
                <w:rFonts w:asciiTheme="minorHAnsi" w:eastAsia="Calibri" w:hAnsiTheme="minorHAnsi" w:cstheme="minorHAnsi"/>
                <w:kern w:val="18"/>
                <w:sz w:val="18"/>
                <w:szCs w:val="18"/>
                <w:vertAlign w:val="superscript"/>
                <w:lang w:val="fr-CA"/>
              </w:rPr>
              <w:t>er</w:t>
            </w:r>
            <w:r>
              <w:rPr>
                <w:rFonts w:asciiTheme="minorHAnsi" w:eastAsia="Calibri" w:hAnsiTheme="minorHAnsi" w:cstheme="minorHAnsi"/>
                <w:kern w:val="18"/>
                <w:sz w:val="18"/>
                <w:szCs w:val="18"/>
                <w:lang w:val="fr-CA"/>
              </w:rPr>
              <w:t xml:space="preserve"> oct.</w:t>
            </w:r>
          </w:p>
        </w:tc>
        <w:tc>
          <w:tcPr>
            <w:tcW w:w="992" w:type="dxa"/>
            <w:tcBorders>
              <w:top w:val="single" w:sz="4" w:space="0" w:color="E1E1E1"/>
              <w:left w:val="single" w:sz="4" w:space="0" w:color="E1E1E1"/>
              <w:bottom w:val="single" w:sz="4" w:space="0" w:color="E1E1E1"/>
              <w:right w:val="single" w:sz="4" w:space="0" w:color="E1E1E1"/>
            </w:tcBorders>
            <w:vAlign w:val="center"/>
          </w:tcPr>
          <w:p w14:paraId="1929ECB1" w14:textId="77777777" w:rsidR="00CA41A3" w:rsidRPr="003D4CF7" w:rsidRDefault="00CA41A3" w:rsidP="00771C2D">
            <w:pPr>
              <w:jc w:val="center"/>
              <w:rPr>
                <w:rFonts w:asciiTheme="minorHAnsi" w:eastAsia="Calibri" w:hAnsiTheme="minorHAnsi" w:cstheme="minorHAnsi"/>
                <w:kern w:val="18"/>
                <w:sz w:val="18"/>
                <w:szCs w:val="18"/>
                <w:lang w:val="fr-CA"/>
              </w:rPr>
            </w:pPr>
            <w:r w:rsidRPr="00941753">
              <w:rPr>
                <w:rFonts w:ascii="Calibri" w:eastAsia="Calibri" w:hAnsi="Calibri" w:cs="Calibri"/>
                <w:kern w:val="18"/>
                <w:sz w:val="18"/>
                <w:szCs w:val="18"/>
                <w:lang w:val="fr-CA"/>
              </w:rPr>
              <w:t>17 h-19 h</w:t>
            </w:r>
          </w:p>
        </w:tc>
        <w:tc>
          <w:tcPr>
            <w:tcW w:w="1559" w:type="dxa"/>
            <w:tcBorders>
              <w:top w:val="single" w:sz="4" w:space="0" w:color="E1E1E1"/>
              <w:left w:val="single" w:sz="4" w:space="0" w:color="E1E1E1"/>
              <w:bottom w:val="single" w:sz="4" w:space="0" w:color="E1E1E1"/>
              <w:right w:val="single" w:sz="4" w:space="0" w:color="E1E1E1"/>
            </w:tcBorders>
            <w:vAlign w:val="center"/>
          </w:tcPr>
          <w:p w14:paraId="7869FFE4" w14:textId="77777777" w:rsidR="00CA41A3" w:rsidRPr="003D4CF7" w:rsidRDefault="00CA41A3" w:rsidP="00771C2D">
            <w:pPr>
              <w:jc w:val="center"/>
              <w:rPr>
                <w:rFonts w:asciiTheme="minorHAnsi" w:eastAsia="Calibri" w:hAnsiTheme="minorHAnsi" w:cstheme="minorHAnsi"/>
                <w:kern w:val="18"/>
                <w:sz w:val="18"/>
                <w:szCs w:val="18"/>
                <w:lang w:val="fr-CA"/>
              </w:rPr>
            </w:pPr>
            <w:r>
              <w:rPr>
                <w:rFonts w:asciiTheme="minorHAnsi" w:hAnsiTheme="minorHAnsi" w:cstheme="minorHAnsi"/>
                <w:kern w:val="18"/>
                <w:sz w:val="18"/>
                <w:szCs w:val="18"/>
                <w:lang w:val="fr-CA"/>
              </w:rPr>
              <w:t xml:space="preserve">Pop. </w:t>
            </w:r>
            <w:proofErr w:type="spellStart"/>
            <w:r w:rsidRPr="00941753">
              <w:rPr>
                <w:rFonts w:asciiTheme="minorHAnsi" w:hAnsiTheme="minorHAnsi" w:cstheme="minorHAnsi"/>
                <w:kern w:val="18"/>
                <w:sz w:val="18"/>
                <w:szCs w:val="18"/>
                <w:lang w:val="fr-CA"/>
              </w:rPr>
              <w:t>gé</w:t>
            </w:r>
            <w:r>
              <w:rPr>
                <w:rFonts w:asciiTheme="minorHAnsi" w:hAnsiTheme="minorHAnsi" w:cstheme="minorHAnsi"/>
                <w:kern w:val="18"/>
                <w:sz w:val="18"/>
                <w:szCs w:val="18"/>
                <w:lang w:val="fr-CA"/>
              </w:rPr>
              <w:t>n</w:t>
            </w:r>
            <w:proofErr w:type="spellEnd"/>
            <w:r>
              <w:rPr>
                <w:rFonts w:asciiTheme="minorHAnsi" w:hAnsiTheme="minorHAnsi" w:cstheme="minorHAnsi"/>
                <w:kern w:val="18"/>
                <w:sz w:val="18"/>
                <w:szCs w:val="18"/>
                <w:lang w:val="fr-CA"/>
              </w:rPr>
              <w:t>.</w:t>
            </w:r>
          </w:p>
        </w:tc>
        <w:tc>
          <w:tcPr>
            <w:tcW w:w="1358" w:type="dxa"/>
            <w:tcBorders>
              <w:top w:val="single" w:sz="4" w:space="0" w:color="E1E1E1"/>
              <w:left w:val="single" w:sz="4" w:space="0" w:color="E1E1E1"/>
              <w:bottom w:val="single" w:sz="4" w:space="0" w:color="E1E1E1"/>
              <w:right w:val="single" w:sz="4" w:space="0" w:color="E1E1E1"/>
            </w:tcBorders>
            <w:vAlign w:val="center"/>
          </w:tcPr>
          <w:p w14:paraId="158AB382" w14:textId="77777777" w:rsidR="00CA41A3" w:rsidRPr="003D4CF7" w:rsidRDefault="00CA41A3" w:rsidP="00771C2D">
            <w:pPr>
              <w:jc w:val="center"/>
              <w:rPr>
                <w:rFonts w:asciiTheme="minorHAnsi" w:eastAsia="Calibri" w:hAnsiTheme="minorHAnsi" w:cstheme="minorHAnsi"/>
                <w:kern w:val="18"/>
                <w:sz w:val="18"/>
                <w:szCs w:val="18"/>
                <w:lang w:val="fr-CA"/>
              </w:rPr>
            </w:pPr>
            <w:r w:rsidRPr="003D4CF7">
              <w:rPr>
                <w:rFonts w:asciiTheme="minorHAnsi" w:eastAsia="Calibri" w:hAnsiTheme="minorHAnsi" w:cstheme="minorHAnsi"/>
                <w:kern w:val="18"/>
                <w:sz w:val="18"/>
                <w:szCs w:val="18"/>
                <w:lang w:val="fr-CA"/>
              </w:rPr>
              <w:t>8</w:t>
            </w:r>
          </w:p>
        </w:tc>
      </w:tr>
      <w:tr w:rsidR="00CA41A3" w:rsidRPr="003D4CF7" w14:paraId="4B4A245D" w14:textId="77777777" w:rsidTr="00771C2D">
        <w:trPr>
          <w:trHeight w:val="272"/>
        </w:trPr>
        <w:tc>
          <w:tcPr>
            <w:tcW w:w="2694" w:type="dxa"/>
            <w:tcBorders>
              <w:top w:val="single" w:sz="4" w:space="0" w:color="E1E1E1"/>
              <w:left w:val="single" w:sz="4" w:space="0" w:color="E1E1E1"/>
              <w:bottom w:val="single" w:sz="4" w:space="0" w:color="E1E1E1"/>
              <w:right w:val="single" w:sz="4" w:space="0" w:color="E1E1E1"/>
            </w:tcBorders>
            <w:vAlign w:val="center"/>
          </w:tcPr>
          <w:p w14:paraId="1C88ABBC" w14:textId="77777777" w:rsidR="00CA41A3" w:rsidRPr="003D4CF7" w:rsidRDefault="00CA41A3" w:rsidP="00771C2D">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Grande région de Montréal</w:t>
            </w:r>
          </w:p>
        </w:tc>
        <w:tc>
          <w:tcPr>
            <w:tcW w:w="993" w:type="dxa"/>
            <w:tcBorders>
              <w:top w:val="single" w:sz="4" w:space="0" w:color="E1E1E1"/>
              <w:left w:val="single" w:sz="4" w:space="0" w:color="E1E1E1"/>
              <w:bottom w:val="single" w:sz="4" w:space="0" w:color="E1E1E1"/>
              <w:right w:val="single" w:sz="4" w:space="0" w:color="E1E1E1"/>
            </w:tcBorders>
            <w:vAlign w:val="center"/>
          </w:tcPr>
          <w:p w14:paraId="423103DE" w14:textId="77777777" w:rsidR="00CA41A3" w:rsidRPr="003D4CF7" w:rsidRDefault="00CA41A3" w:rsidP="00771C2D">
            <w:pPr>
              <w:jc w:val="center"/>
              <w:rPr>
                <w:rFonts w:asciiTheme="minorHAnsi" w:eastAsia="Calibri" w:hAnsiTheme="minorHAnsi" w:cstheme="minorHAnsi"/>
                <w:kern w:val="18"/>
                <w:sz w:val="18"/>
                <w:szCs w:val="18"/>
                <w:lang w:val="fr-CA"/>
              </w:rPr>
            </w:pPr>
            <w:r w:rsidRPr="003D4CF7">
              <w:rPr>
                <w:rFonts w:asciiTheme="minorHAnsi" w:eastAsia="Calibri" w:hAnsiTheme="minorHAnsi" w:cstheme="minorHAnsi"/>
                <w:kern w:val="18"/>
                <w:sz w:val="18"/>
                <w:szCs w:val="18"/>
                <w:lang w:val="fr-CA"/>
              </w:rPr>
              <w:t>2</w:t>
            </w:r>
          </w:p>
        </w:tc>
        <w:tc>
          <w:tcPr>
            <w:tcW w:w="1134" w:type="dxa"/>
            <w:tcBorders>
              <w:top w:val="single" w:sz="4" w:space="0" w:color="E1E1E1"/>
              <w:left w:val="single" w:sz="4" w:space="0" w:color="E1E1E1"/>
              <w:bottom w:val="single" w:sz="4" w:space="0" w:color="E1E1E1"/>
              <w:right w:val="single" w:sz="4" w:space="0" w:color="E1E1E1"/>
            </w:tcBorders>
            <w:vAlign w:val="center"/>
          </w:tcPr>
          <w:p w14:paraId="6D6E3ACE" w14:textId="77777777" w:rsidR="00CA41A3" w:rsidRPr="003D4CF7" w:rsidRDefault="00CA41A3" w:rsidP="00771C2D">
            <w:pPr>
              <w:jc w:val="center"/>
              <w:rPr>
                <w:rFonts w:asciiTheme="minorHAnsi" w:eastAsia="Calibri" w:hAnsiTheme="minorHAnsi" w:cstheme="minorHAnsi"/>
                <w:kern w:val="18"/>
                <w:sz w:val="18"/>
                <w:szCs w:val="18"/>
                <w:lang w:val="fr-CA"/>
              </w:rPr>
            </w:pPr>
            <w:r w:rsidRPr="00941753">
              <w:rPr>
                <w:rFonts w:ascii="Calibri" w:eastAsia="Calibri" w:hAnsi="Calibri" w:cs="Calibri"/>
                <w:kern w:val="18"/>
                <w:sz w:val="18"/>
                <w:szCs w:val="18"/>
                <w:lang w:val="fr-CA"/>
              </w:rPr>
              <w:t>Français</w:t>
            </w:r>
          </w:p>
        </w:tc>
        <w:tc>
          <w:tcPr>
            <w:tcW w:w="992" w:type="dxa"/>
            <w:tcBorders>
              <w:top w:val="single" w:sz="4" w:space="0" w:color="E1E1E1"/>
              <w:left w:val="single" w:sz="4" w:space="0" w:color="E1E1E1"/>
              <w:bottom w:val="single" w:sz="4" w:space="0" w:color="E1E1E1"/>
              <w:right w:val="single" w:sz="4" w:space="0" w:color="E1E1E1"/>
            </w:tcBorders>
            <w:vAlign w:val="center"/>
          </w:tcPr>
          <w:p w14:paraId="38D2E4E7" w14:textId="77777777" w:rsidR="00CA41A3" w:rsidRPr="003D4CF7" w:rsidRDefault="00CA41A3" w:rsidP="00771C2D">
            <w:pPr>
              <w:jc w:val="center"/>
              <w:rPr>
                <w:rFonts w:asciiTheme="minorHAnsi" w:eastAsia="Calibri" w:hAnsiTheme="minorHAnsi" w:cstheme="minorHAnsi"/>
                <w:kern w:val="18"/>
                <w:sz w:val="18"/>
                <w:szCs w:val="18"/>
                <w:lang w:val="fr-CA"/>
              </w:rPr>
            </w:pPr>
            <w:r w:rsidRPr="003D4CF7">
              <w:rPr>
                <w:rFonts w:asciiTheme="minorHAnsi" w:eastAsia="Calibri" w:hAnsiTheme="minorHAnsi" w:cstheme="minorHAnsi"/>
                <w:kern w:val="18"/>
                <w:sz w:val="18"/>
                <w:szCs w:val="18"/>
                <w:lang w:val="fr-CA"/>
              </w:rPr>
              <w:t>5</w:t>
            </w:r>
            <w:r>
              <w:rPr>
                <w:rFonts w:asciiTheme="minorHAnsi" w:eastAsia="Calibri" w:hAnsiTheme="minorHAnsi" w:cstheme="minorHAnsi"/>
                <w:kern w:val="18"/>
                <w:sz w:val="18"/>
                <w:szCs w:val="18"/>
                <w:lang w:val="fr-CA"/>
              </w:rPr>
              <w:t xml:space="preserve"> oct.</w:t>
            </w:r>
          </w:p>
        </w:tc>
        <w:tc>
          <w:tcPr>
            <w:tcW w:w="992" w:type="dxa"/>
            <w:tcBorders>
              <w:top w:val="single" w:sz="4" w:space="0" w:color="E1E1E1"/>
              <w:left w:val="single" w:sz="4" w:space="0" w:color="E1E1E1"/>
              <w:bottom w:val="single" w:sz="4" w:space="0" w:color="E1E1E1"/>
              <w:right w:val="single" w:sz="4" w:space="0" w:color="E1E1E1"/>
            </w:tcBorders>
            <w:vAlign w:val="center"/>
          </w:tcPr>
          <w:p w14:paraId="0DA43355" w14:textId="77777777" w:rsidR="00CA41A3" w:rsidRPr="003D4CF7" w:rsidRDefault="00CA41A3" w:rsidP="00771C2D">
            <w:pPr>
              <w:jc w:val="center"/>
              <w:rPr>
                <w:rFonts w:asciiTheme="minorHAnsi" w:eastAsia="Calibri" w:hAnsiTheme="minorHAnsi" w:cstheme="minorHAnsi"/>
                <w:kern w:val="18"/>
                <w:sz w:val="18"/>
                <w:szCs w:val="18"/>
                <w:lang w:val="fr-CA"/>
              </w:rPr>
            </w:pPr>
            <w:r w:rsidRPr="00941753">
              <w:rPr>
                <w:rFonts w:asciiTheme="minorHAnsi" w:hAnsiTheme="minorHAnsi" w:cstheme="minorHAnsi"/>
                <w:kern w:val="18"/>
                <w:sz w:val="18"/>
                <w:szCs w:val="18"/>
                <w:lang w:val="fr-CA"/>
              </w:rPr>
              <w:t>18 h-20 h</w:t>
            </w:r>
          </w:p>
        </w:tc>
        <w:tc>
          <w:tcPr>
            <w:tcW w:w="1559" w:type="dxa"/>
            <w:tcBorders>
              <w:top w:val="single" w:sz="4" w:space="0" w:color="E1E1E1"/>
              <w:left w:val="single" w:sz="4" w:space="0" w:color="E1E1E1"/>
              <w:bottom w:val="single" w:sz="4" w:space="0" w:color="E1E1E1"/>
              <w:right w:val="single" w:sz="4" w:space="0" w:color="E1E1E1"/>
            </w:tcBorders>
            <w:vAlign w:val="center"/>
          </w:tcPr>
          <w:p w14:paraId="6F520D4E" w14:textId="77777777" w:rsidR="00CA41A3" w:rsidRPr="003D4CF7" w:rsidRDefault="00CA41A3" w:rsidP="00771C2D">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 xml:space="preserve">Canadiens </w:t>
            </w:r>
            <w:proofErr w:type="spellStart"/>
            <w:r>
              <w:rPr>
                <w:rFonts w:asciiTheme="minorHAnsi" w:eastAsia="Calibri" w:hAnsiTheme="minorHAnsi" w:cstheme="minorHAnsi"/>
                <w:kern w:val="18"/>
                <w:sz w:val="18"/>
                <w:szCs w:val="18"/>
                <w:lang w:val="fr-CA"/>
              </w:rPr>
              <w:t>racialisés</w:t>
            </w:r>
            <w:proofErr w:type="spellEnd"/>
            <w:r w:rsidRPr="003D4CF7">
              <w:rPr>
                <w:rFonts w:asciiTheme="minorHAnsi" w:eastAsia="Calibri" w:hAnsiTheme="minorHAnsi" w:cstheme="minorHAnsi"/>
                <w:kern w:val="18"/>
                <w:sz w:val="18"/>
                <w:szCs w:val="18"/>
                <w:lang w:val="fr-CA"/>
              </w:rPr>
              <w:t xml:space="preserve"> </w:t>
            </w:r>
          </w:p>
        </w:tc>
        <w:tc>
          <w:tcPr>
            <w:tcW w:w="1358" w:type="dxa"/>
            <w:tcBorders>
              <w:top w:val="single" w:sz="4" w:space="0" w:color="E1E1E1"/>
              <w:left w:val="single" w:sz="4" w:space="0" w:color="E1E1E1"/>
              <w:bottom w:val="single" w:sz="4" w:space="0" w:color="E1E1E1"/>
              <w:right w:val="single" w:sz="4" w:space="0" w:color="E1E1E1"/>
            </w:tcBorders>
            <w:vAlign w:val="center"/>
          </w:tcPr>
          <w:p w14:paraId="39D569D7" w14:textId="77777777" w:rsidR="00CA41A3" w:rsidRPr="003D4CF7" w:rsidRDefault="00CA41A3" w:rsidP="00771C2D">
            <w:pPr>
              <w:jc w:val="center"/>
              <w:rPr>
                <w:rFonts w:asciiTheme="minorHAnsi" w:eastAsia="Calibri" w:hAnsiTheme="minorHAnsi" w:cstheme="minorHAnsi"/>
                <w:kern w:val="18"/>
                <w:sz w:val="18"/>
                <w:szCs w:val="18"/>
                <w:lang w:val="fr-CA"/>
              </w:rPr>
            </w:pPr>
            <w:r w:rsidRPr="003D4CF7">
              <w:rPr>
                <w:rFonts w:asciiTheme="minorHAnsi" w:eastAsia="Calibri" w:hAnsiTheme="minorHAnsi" w:cstheme="minorHAnsi"/>
                <w:kern w:val="18"/>
                <w:sz w:val="18"/>
                <w:szCs w:val="18"/>
                <w:lang w:val="fr-CA"/>
              </w:rPr>
              <w:t>8</w:t>
            </w:r>
          </w:p>
        </w:tc>
      </w:tr>
      <w:tr w:rsidR="00CA41A3" w:rsidRPr="003D4CF7" w14:paraId="7C9D27BC" w14:textId="77777777" w:rsidTr="00771C2D">
        <w:trPr>
          <w:trHeight w:val="272"/>
        </w:trPr>
        <w:tc>
          <w:tcPr>
            <w:tcW w:w="2694" w:type="dxa"/>
            <w:tcBorders>
              <w:top w:val="single" w:sz="4" w:space="0" w:color="E1E1E1"/>
              <w:left w:val="single" w:sz="4" w:space="0" w:color="E1E1E1"/>
              <w:bottom w:val="single" w:sz="4" w:space="0" w:color="E1E1E1"/>
              <w:right w:val="single" w:sz="4" w:space="0" w:color="E1E1E1"/>
            </w:tcBorders>
            <w:vAlign w:val="center"/>
          </w:tcPr>
          <w:p w14:paraId="7661D3A8" w14:textId="77777777" w:rsidR="00CA41A3" w:rsidRPr="003D4CF7" w:rsidRDefault="00CA41A3" w:rsidP="00771C2D">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Région du Grand Toronto et de Hamilton</w:t>
            </w:r>
          </w:p>
        </w:tc>
        <w:tc>
          <w:tcPr>
            <w:tcW w:w="993" w:type="dxa"/>
            <w:tcBorders>
              <w:top w:val="single" w:sz="4" w:space="0" w:color="E1E1E1"/>
              <w:left w:val="single" w:sz="4" w:space="0" w:color="E1E1E1"/>
              <w:bottom w:val="single" w:sz="4" w:space="0" w:color="E1E1E1"/>
              <w:right w:val="single" w:sz="4" w:space="0" w:color="E1E1E1"/>
            </w:tcBorders>
            <w:vAlign w:val="center"/>
          </w:tcPr>
          <w:p w14:paraId="2201C600" w14:textId="77777777" w:rsidR="00CA41A3" w:rsidRPr="003D4CF7" w:rsidRDefault="00CA41A3" w:rsidP="00771C2D">
            <w:pPr>
              <w:jc w:val="center"/>
              <w:rPr>
                <w:rFonts w:asciiTheme="minorHAnsi" w:eastAsia="Calibri" w:hAnsiTheme="minorHAnsi" w:cstheme="minorHAnsi"/>
                <w:kern w:val="18"/>
                <w:sz w:val="18"/>
                <w:szCs w:val="18"/>
                <w:lang w:val="fr-CA"/>
              </w:rPr>
            </w:pPr>
            <w:r w:rsidRPr="003D4CF7">
              <w:rPr>
                <w:rFonts w:asciiTheme="minorHAnsi" w:eastAsia="Calibri" w:hAnsiTheme="minorHAnsi" w:cstheme="minorHAnsi"/>
                <w:kern w:val="18"/>
                <w:sz w:val="18"/>
                <w:szCs w:val="18"/>
                <w:lang w:val="fr-CA"/>
              </w:rPr>
              <w:t>3</w:t>
            </w:r>
          </w:p>
        </w:tc>
        <w:tc>
          <w:tcPr>
            <w:tcW w:w="1134" w:type="dxa"/>
            <w:tcBorders>
              <w:top w:val="single" w:sz="4" w:space="0" w:color="E1E1E1"/>
              <w:left w:val="single" w:sz="4" w:space="0" w:color="E1E1E1"/>
              <w:bottom w:val="single" w:sz="4" w:space="0" w:color="E1E1E1"/>
              <w:right w:val="single" w:sz="4" w:space="0" w:color="E1E1E1"/>
            </w:tcBorders>
            <w:vAlign w:val="center"/>
          </w:tcPr>
          <w:p w14:paraId="3915AC1E" w14:textId="77777777" w:rsidR="00CA41A3" w:rsidRPr="003D4CF7" w:rsidRDefault="00CA41A3" w:rsidP="00771C2D">
            <w:pPr>
              <w:jc w:val="center"/>
              <w:rPr>
                <w:rFonts w:asciiTheme="minorHAnsi" w:eastAsia="Calibri" w:hAnsiTheme="minorHAnsi" w:cstheme="minorHAnsi"/>
                <w:kern w:val="18"/>
                <w:sz w:val="18"/>
                <w:szCs w:val="18"/>
                <w:lang w:val="fr-CA"/>
              </w:rPr>
            </w:pPr>
            <w:r w:rsidRPr="00941753">
              <w:rPr>
                <w:rFonts w:ascii="Calibri" w:eastAsia="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0F78C4A2" w14:textId="77777777" w:rsidR="00CA41A3" w:rsidRPr="003D4CF7" w:rsidRDefault="00CA41A3" w:rsidP="00771C2D">
            <w:pPr>
              <w:jc w:val="center"/>
              <w:rPr>
                <w:lang w:val="fr-CA"/>
              </w:rPr>
            </w:pPr>
            <w:r w:rsidRPr="003D4CF7">
              <w:rPr>
                <w:rFonts w:asciiTheme="minorHAnsi" w:eastAsia="Calibri" w:hAnsiTheme="minorHAnsi" w:cstheme="minorHAnsi"/>
                <w:kern w:val="18"/>
                <w:sz w:val="18"/>
                <w:szCs w:val="18"/>
                <w:lang w:val="fr-CA"/>
              </w:rPr>
              <w:t>7</w:t>
            </w:r>
            <w:r>
              <w:rPr>
                <w:rFonts w:asciiTheme="minorHAnsi" w:eastAsia="Calibri" w:hAnsiTheme="minorHAnsi" w:cstheme="minorHAnsi"/>
                <w:kern w:val="18"/>
                <w:sz w:val="18"/>
                <w:szCs w:val="18"/>
                <w:lang w:val="fr-CA"/>
              </w:rPr>
              <w:t xml:space="preserve"> oct.</w:t>
            </w:r>
          </w:p>
        </w:tc>
        <w:tc>
          <w:tcPr>
            <w:tcW w:w="992" w:type="dxa"/>
            <w:tcBorders>
              <w:top w:val="single" w:sz="4" w:space="0" w:color="E1E1E1"/>
              <w:left w:val="single" w:sz="4" w:space="0" w:color="E1E1E1"/>
              <w:bottom w:val="single" w:sz="4" w:space="0" w:color="E1E1E1"/>
              <w:right w:val="single" w:sz="4" w:space="0" w:color="E1E1E1"/>
            </w:tcBorders>
            <w:vAlign w:val="center"/>
          </w:tcPr>
          <w:p w14:paraId="271C2424" w14:textId="77777777" w:rsidR="00CA41A3" w:rsidRPr="003D4CF7" w:rsidRDefault="00CA41A3" w:rsidP="00771C2D">
            <w:pPr>
              <w:jc w:val="center"/>
              <w:rPr>
                <w:rFonts w:asciiTheme="minorHAnsi" w:eastAsia="Calibri" w:hAnsiTheme="minorHAnsi" w:cstheme="minorHAnsi"/>
                <w:kern w:val="18"/>
                <w:sz w:val="18"/>
                <w:szCs w:val="18"/>
                <w:lang w:val="fr-CA"/>
              </w:rPr>
            </w:pPr>
            <w:r w:rsidRPr="00941753">
              <w:rPr>
                <w:rFonts w:asciiTheme="minorHAnsi" w:hAnsiTheme="minorHAnsi" w:cstheme="minorHAnsi"/>
                <w:kern w:val="18"/>
                <w:sz w:val="18"/>
                <w:szCs w:val="18"/>
                <w:lang w:val="fr-CA"/>
              </w:rPr>
              <w:t>18 h-20 h</w:t>
            </w:r>
          </w:p>
        </w:tc>
        <w:tc>
          <w:tcPr>
            <w:tcW w:w="1559" w:type="dxa"/>
            <w:tcBorders>
              <w:top w:val="single" w:sz="4" w:space="0" w:color="E1E1E1"/>
              <w:left w:val="single" w:sz="4" w:space="0" w:color="E1E1E1"/>
              <w:bottom w:val="single" w:sz="4" w:space="0" w:color="E1E1E1"/>
              <w:right w:val="single" w:sz="4" w:space="0" w:color="E1E1E1"/>
            </w:tcBorders>
            <w:vAlign w:val="center"/>
          </w:tcPr>
          <w:p w14:paraId="7DA32FC6" w14:textId="77777777" w:rsidR="00CA41A3" w:rsidRPr="003D4CF7" w:rsidRDefault="00CA41A3" w:rsidP="00771C2D">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 xml:space="preserve">Canadiens </w:t>
            </w:r>
            <w:proofErr w:type="spellStart"/>
            <w:r>
              <w:rPr>
                <w:rFonts w:asciiTheme="minorHAnsi" w:eastAsia="Calibri" w:hAnsiTheme="minorHAnsi" w:cstheme="minorHAnsi"/>
                <w:kern w:val="18"/>
                <w:sz w:val="18"/>
                <w:szCs w:val="18"/>
                <w:lang w:val="fr-CA"/>
              </w:rPr>
              <w:t>racialisés</w:t>
            </w:r>
            <w:proofErr w:type="spellEnd"/>
          </w:p>
        </w:tc>
        <w:tc>
          <w:tcPr>
            <w:tcW w:w="1358" w:type="dxa"/>
            <w:tcBorders>
              <w:top w:val="single" w:sz="4" w:space="0" w:color="E1E1E1"/>
              <w:left w:val="single" w:sz="4" w:space="0" w:color="E1E1E1"/>
              <w:bottom w:val="single" w:sz="4" w:space="0" w:color="E1E1E1"/>
              <w:right w:val="single" w:sz="4" w:space="0" w:color="E1E1E1"/>
            </w:tcBorders>
            <w:vAlign w:val="center"/>
          </w:tcPr>
          <w:p w14:paraId="786CAFB2" w14:textId="77777777" w:rsidR="00CA41A3" w:rsidRPr="003D4CF7" w:rsidRDefault="00CA41A3" w:rsidP="00771C2D">
            <w:pPr>
              <w:jc w:val="center"/>
              <w:rPr>
                <w:rFonts w:asciiTheme="minorHAnsi" w:eastAsia="Calibri" w:hAnsiTheme="minorHAnsi" w:cstheme="minorHAnsi"/>
                <w:kern w:val="18"/>
                <w:sz w:val="18"/>
                <w:szCs w:val="18"/>
                <w:lang w:val="fr-CA"/>
              </w:rPr>
            </w:pPr>
            <w:r w:rsidRPr="003D4CF7">
              <w:rPr>
                <w:rFonts w:asciiTheme="minorHAnsi" w:eastAsia="Calibri" w:hAnsiTheme="minorHAnsi" w:cstheme="minorHAnsi"/>
                <w:kern w:val="18"/>
                <w:sz w:val="18"/>
                <w:szCs w:val="18"/>
                <w:lang w:val="fr-CA"/>
              </w:rPr>
              <w:t>8</w:t>
            </w:r>
          </w:p>
        </w:tc>
      </w:tr>
      <w:tr w:rsidR="00CA41A3" w:rsidRPr="003D4CF7" w14:paraId="23E23B2F" w14:textId="77777777" w:rsidTr="00771C2D">
        <w:trPr>
          <w:trHeight w:val="272"/>
        </w:trPr>
        <w:tc>
          <w:tcPr>
            <w:tcW w:w="2694" w:type="dxa"/>
            <w:tcBorders>
              <w:top w:val="single" w:sz="4" w:space="0" w:color="E1E1E1"/>
              <w:left w:val="single" w:sz="4" w:space="0" w:color="E1E1E1"/>
              <w:bottom w:val="single" w:sz="4" w:space="0" w:color="E1E1E1"/>
              <w:right w:val="single" w:sz="4" w:space="0" w:color="E1E1E1"/>
            </w:tcBorders>
            <w:vAlign w:val="center"/>
          </w:tcPr>
          <w:p w14:paraId="340A630A" w14:textId="77777777" w:rsidR="00CA41A3" w:rsidRPr="003D4CF7" w:rsidRDefault="00CA41A3" w:rsidP="00771C2D">
            <w:pPr>
              <w:jc w:val="center"/>
              <w:rPr>
                <w:rFonts w:asciiTheme="minorHAnsi" w:eastAsia="Calibri" w:hAnsiTheme="minorHAnsi" w:cstheme="minorHAnsi"/>
                <w:kern w:val="18"/>
                <w:sz w:val="18"/>
                <w:szCs w:val="18"/>
                <w:lang w:val="fr-CA"/>
              </w:rPr>
            </w:pPr>
            <w:r w:rsidRPr="003D4CF7">
              <w:rPr>
                <w:rFonts w:asciiTheme="minorHAnsi" w:eastAsia="Calibri" w:hAnsiTheme="minorHAnsi" w:cstheme="minorHAnsi"/>
                <w:kern w:val="18"/>
                <w:sz w:val="18"/>
                <w:szCs w:val="18"/>
                <w:lang w:val="fr-CA"/>
              </w:rPr>
              <w:t>Canada</w:t>
            </w:r>
            <w:r>
              <w:rPr>
                <w:rFonts w:asciiTheme="minorHAnsi" w:eastAsia="Calibri" w:hAnsiTheme="minorHAnsi" w:cstheme="minorHAnsi"/>
                <w:kern w:val="18"/>
                <w:sz w:val="18"/>
                <w:szCs w:val="18"/>
                <w:lang w:val="fr-CA"/>
              </w:rPr>
              <w:t xml:space="preserve"> atlantique</w:t>
            </w:r>
          </w:p>
        </w:tc>
        <w:tc>
          <w:tcPr>
            <w:tcW w:w="993" w:type="dxa"/>
            <w:tcBorders>
              <w:top w:val="single" w:sz="4" w:space="0" w:color="E1E1E1"/>
              <w:left w:val="single" w:sz="4" w:space="0" w:color="E1E1E1"/>
              <w:bottom w:val="single" w:sz="4" w:space="0" w:color="E1E1E1"/>
              <w:right w:val="single" w:sz="4" w:space="0" w:color="E1E1E1"/>
            </w:tcBorders>
            <w:vAlign w:val="center"/>
          </w:tcPr>
          <w:p w14:paraId="0D864756" w14:textId="77777777" w:rsidR="00CA41A3" w:rsidRPr="003D4CF7" w:rsidRDefault="00CA41A3" w:rsidP="00771C2D">
            <w:pPr>
              <w:jc w:val="center"/>
              <w:rPr>
                <w:rFonts w:asciiTheme="minorHAnsi" w:eastAsia="Calibri" w:hAnsiTheme="minorHAnsi" w:cstheme="minorHAnsi"/>
                <w:kern w:val="18"/>
                <w:sz w:val="18"/>
                <w:szCs w:val="18"/>
                <w:lang w:val="fr-CA"/>
              </w:rPr>
            </w:pPr>
            <w:r w:rsidRPr="003D4CF7">
              <w:rPr>
                <w:rFonts w:asciiTheme="minorHAnsi" w:eastAsia="Calibri" w:hAnsiTheme="minorHAnsi" w:cstheme="minorHAnsi"/>
                <w:kern w:val="18"/>
                <w:sz w:val="18"/>
                <w:szCs w:val="18"/>
                <w:lang w:val="fr-CA"/>
              </w:rPr>
              <w:t>4</w:t>
            </w:r>
          </w:p>
        </w:tc>
        <w:tc>
          <w:tcPr>
            <w:tcW w:w="1134" w:type="dxa"/>
            <w:tcBorders>
              <w:top w:val="single" w:sz="4" w:space="0" w:color="E1E1E1"/>
              <w:left w:val="single" w:sz="4" w:space="0" w:color="E1E1E1"/>
              <w:bottom w:val="single" w:sz="4" w:space="0" w:color="E1E1E1"/>
              <w:right w:val="single" w:sz="4" w:space="0" w:color="E1E1E1"/>
            </w:tcBorders>
            <w:vAlign w:val="center"/>
          </w:tcPr>
          <w:p w14:paraId="736B5367" w14:textId="77777777" w:rsidR="00CA41A3" w:rsidRPr="003D4CF7" w:rsidRDefault="00CA41A3" w:rsidP="00771C2D">
            <w:pPr>
              <w:jc w:val="center"/>
              <w:rPr>
                <w:rFonts w:asciiTheme="minorHAnsi" w:eastAsia="Calibri" w:hAnsiTheme="minorHAnsi" w:cstheme="minorHAnsi"/>
                <w:kern w:val="18"/>
                <w:sz w:val="18"/>
                <w:szCs w:val="18"/>
                <w:lang w:val="fr-CA"/>
              </w:rPr>
            </w:pPr>
            <w:r w:rsidRPr="00941753">
              <w:rPr>
                <w:rFonts w:ascii="Calibri" w:eastAsia="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776B9A37" w14:textId="77777777" w:rsidR="00CA41A3" w:rsidRPr="003D4CF7" w:rsidRDefault="00CA41A3" w:rsidP="00771C2D">
            <w:pPr>
              <w:jc w:val="center"/>
              <w:rPr>
                <w:lang w:val="fr-CA"/>
              </w:rPr>
            </w:pPr>
            <w:r w:rsidRPr="003D4CF7">
              <w:rPr>
                <w:rFonts w:asciiTheme="minorHAnsi" w:eastAsia="Calibri" w:hAnsiTheme="minorHAnsi" w:cstheme="minorHAnsi"/>
                <w:kern w:val="18"/>
                <w:sz w:val="18"/>
                <w:szCs w:val="18"/>
                <w:lang w:val="fr-CA"/>
              </w:rPr>
              <w:t>13</w:t>
            </w:r>
            <w:r>
              <w:rPr>
                <w:rFonts w:asciiTheme="minorHAnsi" w:eastAsia="Calibri" w:hAnsiTheme="minorHAnsi" w:cstheme="minorHAnsi"/>
                <w:kern w:val="18"/>
                <w:sz w:val="18"/>
                <w:szCs w:val="18"/>
                <w:lang w:val="fr-CA"/>
              </w:rPr>
              <w:t xml:space="preserve"> oct.</w:t>
            </w:r>
          </w:p>
        </w:tc>
        <w:tc>
          <w:tcPr>
            <w:tcW w:w="992" w:type="dxa"/>
            <w:tcBorders>
              <w:top w:val="single" w:sz="4" w:space="0" w:color="E1E1E1"/>
              <w:left w:val="single" w:sz="4" w:space="0" w:color="E1E1E1"/>
              <w:bottom w:val="single" w:sz="4" w:space="0" w:color="E1E1E1"/>
              <w:right w:val="single" w:sz="4" w:space="0" w:color="E1E1E1"/>
            </w:tcBorders>
            <w:vAlign w:val="center"/>
          </w:tcPr>
          <w:p w14:paraId="76081D4C" w14:textId="77777777" w:rsidR="00CA41A3" w:rsidRPr="003D4CF7" w:rsidRDefault="00CA41A3" w:rsidP="00771C2D">
            <w:pPr>
              <w:jc w:val="center"/>
              <w:rPr>
                <w:rFonts w:asciiTheme="minorHAnsi" w:eastAsia="Calibri" w:hAnsiTheme="minorHAnsi" w:cstheme="minorHAnsi"/>
                <w:kern w:val="18"/>
                <w:sz w:val="18"/>
                <w:szCs w:val="18"/>
                <w:lang w:val="fr-CA"/>
              </w:rPr>
            </w:pPr>
            <w:r w:rsidRPr="00941753">
              <w:rPr>
                <w:rFonts w:ascii="Calibri" w:eastAsia="Calibri" w:hAnsi="Calibri" w:cs="Calibri"/>
                <w:kern w:val="18"/>
                <w:sz w:val="18"/>
                <w:szCs w:val="18"/>
                <w:lang w:val="fr-CA"/>
              </w:rPr>
              <w:t>17 h-19 h</w:t>
            </w:r>
          </w:p>
        </w:tc>
        <w:tc>
          <w:tcPr>
            <w:tcW w:w="1559" w:type="dxa"/>
            <w:tcBorders>
              <w:top w:val="single" w:sz="4" w:space="0" w:color="E1E1E1"/>
              <w:left w:val="single" w:sz="4" w:space="0" w:color="E1E1E1"/>
              <w:bottom w:val="single" w:sz="4" w:space="0" w:color="E1E1E1"/>
              <w:right w:val="single" w:sz="4" w:space="0" w:color="E1E1E1"/>
            </w:tcBorders>
            <w:vAlign w:val="center"/>
          </w:tcPr>
          <w:p w14:paraId="3058ED6A" w14:textId="77777777" w:rsidR="00CA41A3" w:rsidRPr="003D4CF7" w:rsidRDefault="00CA41A3" w:rsidP="00771C2D">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Autochtones</w:t>
            </w:r>
          </w:p>
        </w:tc>
        <w:tc>
          <w:tcPr>
            <w:tcW w:w="1358" w:type="dxa"/>
            <w:tcBorders>
              <w:top w:val="single" w:sz="4" w:space="0" w:color="E1E1E1"/>
              <w:left w:val="single" w:sz="4" w:space="0" w:color="E1E1E1"/>
              <w:bottom w:val="single" w:sz="4" w:space="0" w:color="E1E1E1"/>
              <w:right w:val="single" w:sz="4" w:space="0" w:color="E1E1E1"/>
            </w:tcBorders>
            <w:vAlign w:val="center"/>
          </w:tcPr>
          <w:p w14:paraId="5E98B846" w14:textId="77777777" w:rsidR="00CA41A3" w:rsidRPr="003D4CF7" w:rsidRDefault="00CA41A3" w:rsidP="00771C2D">
            <w:pPr>
              <w:jc w:val="center"/>
              <w:rPr>
                <w:rFonts w:asciiTheme="minorHAnsi" w:eastAsia="Calibri" w:hAnsiTheme="minorHAnsi" w:cstheme="minorHAnsi"/>
                <w:kern w:val="18"/>
                <w:sz w:val="18"/>
                <w:szCs w:val="18"/>
                <w:lang w:val="fr-CA"/>
              </w:rPr>
            </w:pPr>
            <w:r w:rsidRPr="003D4CF7">
              <w:rPr>
                <w:rFonts w:asciiTheme="minorHAnsi" w:eastAsia="Calibri" w:hAnsiTheme="minorHAnsi" w:cstheme="minorHAnsi"/>
                <w:kern w:val="18"/>
                <w:sz w:val="18"/>
                <w:szCs w:val="18"/>
                <w:lang w:val="fr-CA"/>
              </w:rPr>
              <w:t>8</w:t>
            </w:r>
          </w:p>
        </w:tc>
      </w:tr>
      <w:tr w:rsidR="00CA41A3" w:rsidRPr="003D4CF7" w14:paraId="49751127" w14:textId="77777777" w:rsidTr="00771C2D">
        <w:trPr>
          <w:trHeight w:val="272"/>
        </w:trPr>
        <w:tc>
          <w:tcPr>
            <w:tcW w:w="2694" w:type="dxa"/>
            <w:tcBorders>
              <w:top w:val="single" w:sz="4" w:space="0" w:color="E1E1E1"/>
              <w:left w:val="single" w:sz="4" w:space="0" w:color="E1E1E1"/>
              <w:bottom w:val="single" w:sz="4" w:space="0" w:color="E1E1E1"/>
              <w:right w:val="single" w:sz="4" w:space="0" w:color="E1E1E1"/>
            </w:tcBorders>
            <w:vAlign w:val="center"/>
          </w:tcPr>
          <w:p w14:paraId="3905472D" w14:textId="77777777" w:rsidR="00CA41A3" w:rsidRPr="003D4CF7" w:rsidRDefault="00CA41A3" w:rsidP="00771C2D">
            <w:pPr>
              <w:jc w:val="center"/>
              <w:rPr>
                <w:rFonts w:asciiTheme="minorHAnsi" w:eastAsia="Calibri" w:hAnsiTheme="minorHAnsi" w:cstheme="minorHAnsi"/>
                <w:kern w:val="18"/>
                <w:sz w:val="18"/>
                <w:szCs w:val="18"/>
                <w:lang w:val="fr-CA"/>
              </w:rPr>
            </w:pPr>
            <w:r w:rsidRPr="003D4CF7">
              <w:rPr>
                <w:rFonts w:asciiTheme="minorHAnsi" w:eastAsia="Calibri" w:hAnsiTheme="minorHAnsi" w:cstheme="minorHAnsi"/>
                <w:kern w:val="18"/>
                <w:sz w:val="18"/>
                <w:szCs w:val="18"/>
                <w:lang w:val="fr-CA"/>
              </w:rPr>
              <w:t xml:space="preserve">Ontario – </w:t>
            </w:r>
            <w:r>
              <w:rPr>
                <w:rFonts w:asciiTheme="minorHAnsi" w:eastAsia="Calibri" w:hAnsiTheme="minorHAnsi" w:cstheme="minorHAnsi"/>
                <w:kern w:val="18"/>
                <w:sz w:val="18"/>
                <w:szCs w:val="18"/>
                <w:lang w:val="fr-CA"/>
              </w:rPr>
              <w:t>Grandes villes et villes de taille moyenne</w:t>
            </w:r>
            <w:r w:rsidRPr="003D4CF7">
              <w:rPr>
                <w:rFonts w:asciiTheme="minorHAnsi" w:eastAsia="Calibri" w:hAnsiTheme="minorHAnsi" w:cstheme="minorHAnsi"/>
                <w:kern w:val="18"/>
                <w:sz w:val="18"/>
                <w:szCs w:val="18"/>
                <w:lang w:val="fr-CA"/>
              </w:rPr>
              <w:t xml:space="preserve"> </w:t>
            </w:r>
          </w:p>
        </w:tc>
        <w:tc>
          <w:tcPr>
            <w:tcW w:w="993" w:type="dxa"/>
            <w:tcBorders>
              <w:top w:val="single" w:sz="4" w:space="0" w:color="E1E1E1"/>
              <w:left w:val="single" w:sz="4" w:space="0" w:color="E1E1E1"/>
              <w:bottom w:val="single" w:sz="4" w:space="0" w:color="E1E1E1"/>
              <w:right w:val="single" w:sz="4" w:space="0" w:color="E1E1E1"/>
            </w:tcBorders>
            <w:vAlign w:val="center"/>
          </w:tcPr>
          <w:p w14:paraId="1A885FAB" w14:textId="77777777" w:rsidR="00CA41A3" w:rsidRPr="003D4CF7" w:rsidRDefault="00CA41A3" w:rsidP="00771C2D">
            <w:pPr>
              <w:jc w:val="center"/>
              <w:rPr>
                <w:rFonts w:asciiTheme="minorHAnsi" w:eastAsia="Calibri" w:hAnsiTheme="minorHAnsi" w:cstheme="minorHAnsi"/>
                <w:kern w:val="18"/>
                <w:sz w:val="18"/>
                <w:szCs w:val="18"/>
                <w:lang w:val="fr-CA"/>
              </w:rPr>
            </w:pPr>
            <w:r w:rsidRPr="003D4CF7">
              <w:rPr>
                <w:rFonts w:asciiTheme="minorHAnsi" w:eastAsia="Calibri" w:hAnsiTheme="minorHAnsi" w:cstheme="minorHAnsi"/>
                <w:kern w:val="18"/>
                <w:sz w:val="18"/>
                <w:szCs w:val="18"/>
                <w:lang w:val="fr-CA"/>
              </w:rPr>
              <w:t>5</w:t>
            </w:r>
          </w:p>
        </w:tc>
        <w:tc>
          <w:tcPr>
            <w:tcW w:w="1134" w:type="dxa"/>
            <w:tcBorders>
              <w:top w:val="single" w:sz="4" w:space="0" w:color="E1E1E1"/>
              <w:left w:val="single" w:sz="4" w:space="0" w:color="E1E1E1"/>
              <w:bottom w:val="single" w:sz="4" w:space="0" w:color="E1E1E1"/>
              <w:right w:val="single" w:sz="4" w:space="0" w:color="E1E1E1"/>
            </w:tcBorders>
            <w:vAlign w:val="center"/>
          </w:tcPr>
          <w:p w14:paraId="7CCAE02F" w14:textId="77777777" w:rsidR="00CA41A3" w:rsidRPr="003D4CF7" w:rsidRDefault="00CA41A3" w:rsidP="00771C2D">
            <w:pPr>
              <w:jc w:val="center"/>
              <w:rPr>
                <w:rFonts w:asciiTheme="minorHAnsi" w:eastAsia="Calibri" w:hAnsiTheme="minorHAnsi" w:cstheme="minorHAnsi"/>
                <w:kern w:val="18"/>
                <w:sz w:val="18"/>
                <w:szCs w:val="18"/>
                <w:lang w:val="fr-CA"/>
              </w:rPr>
            </w:pPr>
            <w:r w:rsidRPr="00941753">
              <w:rPr>
                <w:rFonts w:ascii="Calibri" w:eastAsia="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0E076CB4" w14:textId="77777777" w:rsidR="00CA41A3" w:rsidRPr="003D4CF7" w:rsidRDefault="00CA41A3" w:rsidP="00771C2D">
            <w:pPr>
              <w:jc w:val="center"/>
              <w:rPr>
                <w:lang w:val="fr-CA"/>
              </w:rPr>
            </w:pPr>
            <w:r w:rsidRPr="003D4CF7">
              <w:rPr>
                <w:rFonts w:asciiTheme="minorHAnsi" w:eastAsia="Calibri" w:hAnsiTheme="minorHAnsi" w:cstheme="minorHAnsi"/>
                <w:kern w:val="18"/>
                <w:sz w:val="18"/>
                <w:szCs w:val="18"/>
                <w:lang w:val="fr-CA"/>
              </w:rPr>
              <w:t>14</w:t>
            </w:r>
            <w:r>
              <w:rPr>
                <w:rFonts w:asciiTheme="minorHAnsi" w:eastAsia="Calibri" w:hAnsiTheme="minorHAnsi" w:cstheme="minorHAnsi"/>
                <w:kern w:val="18"/>
                <w:sz w:val="18"/>
                <w:szCs w:val="18"/>
                <w:lang w:val="fr-CA"/>
              </w:rPr>
              <w:t xml:space="preserve"> oct.</w:t>
            </w:r>
          </w:p>
        </w:tc>
        <w:tc>
          <w:tcPr>
            <w:tcW w:w="992" w:type="dxa"/>
            <w:tcBorders>
              <w:top w:val="single" w:sz="4" w:space="0" w:color="E1E1E1"/>
              <w:left w:val="single" w:sz="4" w:space="0" w:color="E1E1E1"/>
              <w:bottom w:val="single" w:sz="4" w:space="0" w:color="E1E1E1"/>
              <w:right w:val="single" w:sz="4" w:space="0" w:color="E1E1E1"/>
            </w:tcBorders>
            <w:vAlign w:val="center"/>
          </w:tcPr>
          <w:p w14:paraId="4DE1F228" w14:textId="77777777" w:rsidR="00CA41A3" w:rsidRPr="003D4CF7" w:rsidRDefault="00CA41A3" w:rsidP="00771C2D">
            <w:pPr>
              <w:jc w:val="center"/>
              <w:rPr>
                <w:rFonts w:asciiTheme="minorHAnsi" w:eastAsia="Calibri" w:hAnsiTheme="minorHAnsi" w:cstheme="minorHAnsi"/>
                <w:kern w:val="18"/>
                <w:sz w:val="18"/>
                <w:szCs w:val="18"/>
                <w:lang w:val="fr-CA"/>
              </w:rPr>
            </w:pPr>
            <w:r w:rsidRPr="00941753">
              <w:rPr>
                <w:rFonts w:asciiTheme="minorHAnsi" w:hAnsiTheme="minorHAnsi" w:cstheme="minorHAnsi"/>
                <w:kern w:val="18"/>
                <w:sz w:val="18"/>
                <w:szCs w:val="18"/>
                <w:lang w:val="fr-CA"/>
              </w:rPr>
              <w:t>18 h-20 h</w:t>
            </w:r>
          </w:p>
        </w:tc>
        <w:tc>
          <w:tcPr>
            <w:tcW w:w="1559" w:type="dxa"/>
            <w:tcBorders>
              <w:top w:val="single" w:sz="4" w:space="0" w:color="E1E1E1"/>
              <w:left w:val="single" w:sz="4" w:space="0" w:color="E1E1E1"/>
              <w:bottom w:val="single" w:sz="4" w:space="0" w:color="E1E1E1"/>
              <w:right w:val="single" w:sz="4" w:space="0" w:color="E1E1E1"/>
            </w:tcBorders>
            <w:vAlign w:val="center"/>
          </w:tcPr>
          <w:p w14:paraId="7013CE48" w14:textId="77777777" w:rsidR="00CA41A3" w:rsidRPr="003D4CF7" w:rsidRDefault="00CA41A3" w:rsidP="00771C2D">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AE et prestations de relance</w:t>
            </w:r>
          </w:p>
        </w:tc>
        <w:tc>
          <w:tcPr>
            <w:tcW w:w="1358" w:type="dxa"/>
            <w:tcBorders>
              <w:top w:val="single" w:sz="4" w:space="0" w:color="E1E1E1"/>
              <w:left w:val="single" w:sz="4" w:space="0" w:color="E1E1E1"/>
              <w:bottom w:val="single" w:sz="4" w:space="0" w:color="E1E1E1"/>
              <w:right w:val="single" w:sz="4" w:space="0" w:color="E1E1E1"/>
            </w:tcBorders>
            <w:vAlign w:val="center"/>
          </w:tcPr>
          <w:p w14:paraId="42DD939F" w14:textId="77777777" w:rsidR="00CA41A3" w:rsidRPr="003D4CF7" w:rsidRDefault="00CA41A3" w:rsidP="00771C2D">
            <w:pPr>
              <w:jc w:val="center"/>
              <w:rPr>
                <w:rFonts w:asciiTheme="minorHAnsi" w:eastAsia="Calibri" w:hAnsiTheme="minorHAnsi" w:cstheme="minorHAnsi"/>
                <w:kern w:val="18"/>
                <w:sz w:val="18"/>
                <w:szCs w:val="18"/>
                <w:lang w:val="fr-CA"/>
              </w:rPr>
            </w:pPr>
            <w:r w:rsidRPr="003D4CF7">
              <w:rPr>
                <w:rFonts w:asciiTheme="minorHAnsi" w:eastAsia="Calibri" w:hAnsiTheme="minorHAnsi" w:cstheme="minorHAnsi"/>
                <w:kern w:val="18"/>
                <w:sz w:val="18"/>
                <w:szCs w:val="18"/>
                <w:lang w:val="fr-CA"/>
              </w:rPr>
              <w:t>7</w:t>
            </w:r>
          </w:p>
        </w:tc>
      </w:tr>
      <w:tr w:rsidR="00CA41A3" w:rsidRPr="003D4CF7" w14:paraId="4D714C91" w14:textId="77777777" w:rsidTr="00771C2D">
        <w:trPr>
          <w:trHeight w:val="272"/>
        </w:trPr>
        <w:tc>
          <w:tcPr>
            <w:tcW w:w="2694" w:type="dxa"/>
            <w:tcBorders>
              <w:top w:val="single" w:sz="4" w:space="0" w:color="E1E1E1"/>
              <w:left w:val="single" w:sz="4" w:space="0" w:color="E1E1E1"/>
              <w:bottom w:val="single" w:sz="4" w:space="0" w:color="E1E1E1"/>
              <w:right w:val="single" w:sz="4" w:space="0" w:color="E1E1E1"/>
            </w:tcBorders>
            <w:vAlign w:val="center"/>
          </w:tcPr>
          <w:p w14:paraId="2B1FEF91" w14:textId="77777777" w:rsidR="00CA41A3" w:rsidRPr="003D4CF7" w:rsidRDefault="00CA41A3" w:rsidP="00771C2D">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Ville de Québec</w:t>
            </w:r>
          </w:p>
        </w:tc>
        <w:tc>
          <w:tcPr>
            <w:tcW w:w="993" w:type="dxa"/>
            <w:tcBorders>
              <w:top w:val="single" w:sz="4" w:space="0" w:color="E1E1E1"/>
              <w:left w:val="single" w:sz="4" w:space="0" w:color="E1E1E1"/>
              <w:bottom w:val="single" w:sz="4" w:space="0" w:color="E1E1E1"/>
              <w:right w:val="single" w:sz="4" w:space="0" w:color="E1E1E1"/>
            </w:tcBorders>
            <w:vAlign w:val="center"/>
          </w:tcPr>
          <w:p w14:paraId="033664D2" w14:textId="77777777" w:rsidR="00CA41A3" w:rsidRPr="003D4CF7" w:rsidRDefault="00CA41A3" w:rsidP="00771C2D">
            <w:pPr>
              <w:jc w:val="center"/>
              <w:rPr>
                <w:rFonts w:asciiTheme="minorHAnsi" w:eastAsia="Calibri" w:hAnsiTheme="minorHAnsi" w:cstheme="minorHAnsi"/>
                <w:kern w:val="18"/>
                <w:sz w:val="18"/>
                <w:szCs w:val="18"/>
                <w:lang w:val="fr-CA"/>
              </w:rPr>
            </w:pPr>
            <w:r w:rsidRPr="003D4CF7">
              <w:rPr>
                <w:rFonts w:asciiTheme="minorHAnsi" w:eastAsia="Calibri" w:hAnsiTheme="minorHAnsi" w:cstheme="minorHAnsi"/>
                <w:kern w:val="18"/>
                <w:sz w:val="18"/>
                <w:szCs w:val="18"/>
                <w:lang w:val="fr-CA"/>
              </w:rPr>
              <w:t>6</w:t>
            </w:r>
          </w:p>
        </w:tc>
        <w:tc>
          <w:tcPr>
            <w:tcW w:w="1134" w:type="dxa"/>
            <w:tcBorders>
              <w:top w:val="single" w:sz="4" w:space="0" w:color="E1E1E1"/>
              <w:left w:val="single" w:sz="4" w:space="0" w:color="E1E1E1"/>
              <w:bottom w:val="single" w:sz="4" w:space="0" w:color="E1E1E1"/>
              <w:right w:val="single" w:sz="4" w:space="0" w:color="E1E1E1"/>
            </w:tcBorders>
            <w:vAlign w:val="center"/>
          </w:tcPr>
          <w:p w14:paraId="58C68948" w14:textId="77777777" w:rsidR="00CA41A3" w:rsidRPr="003D4CF7" w:rsidRDefault="00CA41A3" w:rsidP="00771C2D">
            <w:pPr>
              <w:jc w:val="center"/>
              <w:rPr>
                <w:rFonts w:asciiTheme="minorHAnsi" w:eastAsia="Calibri" w:hAnsiTheme="minorHAnsi" w:cstheme="minorHAnsi"/>
                <w:kern w:val="18"/>
                <w:sz w:val="18"/>
                <w:szCs w:val="18"/>
                <w:lang w:val="fr-CA"/>
              </w:rPr>
            </w:pPr>
            <w:r w:rsidRPr="00941753">
              <w:rPr>
                <w:rFonts w:ascii="Calibri" w:eastAsia="Calibri" w:hAnsi="Calibri" w:cs="Calibri"/>
                <w:kern w:val="18"/>
                <w:sz w:val="18"/>
                <w:szCs w:val="18"/>
                <w:lang w:val="fr-CA"/>
              </w:rPr>
              <w:t>Français</w:t>
            </w:r>
          </w:p>
        </w:tc>
        <w:tc>
          <w:tcPr>
            <w:tcW w:w="992" w:type="dxa"/>
            <w:tcBorders>
              <w:top w:val="single" w:sz="4" w:space="0" w:color="E1E1E1"/>
              <w:left w:val="single" w:sz="4" w:space="0" w:color="E1E1E1"/>
              <w:bottom w:val="single" w:sz="4" w:space="0" w:color="E1E1E1"/>
              <w:right w:val="single" w:sz="4" w:space="0" w:color="E1E1E1"/>
            </w:tcBorders>
            <w:vAlign w:val="center"/>
          </w:tcPr>
          <w:p w14:paraId="538D6374" w14:textId="77777777" w:rsidR="00CA41A3" w:rsidRPr="003D4CF7" w:rsidRDefault="00CA41A3" w:rsidP="00771C2D">
            <w:pPr>
              <w:jc w:val="center"/>
              <w:rPr>
                <w:lang w:val="fr-CA"/>
              </w:rPr>
            </w:pPr>
            <w:r w:rsidRPr="003D4CF7">
              <w:rPr>
                <w:rFonts w:asciiTheme="minorHAnsi" w:eastAsia="Calibri" w:hAnsiTheme="minorHAnsi" w:cstheme="minorHAnsi"/>
                <w:kern w:val="18"/>
                <w:sz w:val="18"/>
                <w:szCs w:val="18"/>
                <w:lang w:val="fr-CA"/>
              </w:rPr>
              <w:t>15</w:t>
            </w:r>
            <w:r>
              <w:rPr>
                <w:rFonts w:asciiTheme="minorHAnsi" w:eastAsia="Calibri" w:hAnsiTheme="minorHAnsi" w:cstheme="minorHAnsi"/>
                <w:kern w:val="18"/>
                <w:sz w:val="18"/>
                <w:szCs w:val="18"/>
                <w:lang w:val="fr-CA"/>
              </w:rPr>
              <w:t xml:space="preserve"> oct.</w:t>
            </w:r>
          </w:p>
        </w:tc>
        <w:tc>
          <w:tcPr>
            <w:tcW w:w="992" w:type="dxa"/>
            <w:tcBorders>
              <w:top w:val="single" w:sz="4" w:space="0" w:color="E1E1E1"/>
              <w:left w:val="single" w:sz="4" w:space="0" w:color="E1E1E1"/>
              <w:bottom w:val="single" w:sz="4" w:space="0" w:color="E1E1E1"/>
              <w:right w:val="single" w:sz="4" w:space="0" w:color="E1E1E1"/>
            </w:tcBorders>
            <w:vAlign w:val="center"/>
          </w:tcPr>
          <w:p w14:paraId="722D30E1" w14:textId="77777777" w:rsidR="00CA41A3" w:rsidRPr="003D4CF7" w:rsidRDefault="00CA41A3" w:rsidP="00771C2D">
            <w:pPr>
              <w:jc w:val="center"/>
              <w:rPr>
                <w:rFonts w:asciiTheme="minorHAnsi" w:eastAsia="Calibri" w:hAnsiTheme="minorHAnsi" w:cstheme="minorHAnsi"/>
                <w:kern w:val="18"/>
                <w:sz w:val="18"/>
                <w:szCs w:val="18"/>
                <w:lang w:val="fr-CA"/>
              </w:rPr>
            </w:pPr>
            <w:r w:rsidRPr="00941753">
              <w:rPr>
                <w:rFonts w:asciiTheme="minorHAnsi" w:hAnsiTheme="minorHAnsi" w:cstheme="minorHAnsi"/>
                <w:kern w:val="18"/>
                <w:sz w:val="18"/>
                <w:szCs w:val="18"/>
                <w:lang w:val="fr-CA"/>
              </w:rPr>
              <w:t>18 h-20 h</w:t>
            </w:r>
          </w:p>
        </w:tc>
        <w:tc>
          <w:tcPr>
            <w:tcW w:w="1559" w:type="dxa"/>
            <w:tcBorders>
              <w:top w:val="single" w:sz="4" w:space="0" w:color="E1E1E1"/>
              <w:left w:val="single" w:sz="4" w:space="0" w:color="E1E1E1"/>
              <w:bottom w:val="single" w:sz="4" w:space="0" w:color="E1E1E1"/>
              <w:right w:val="single" w:sz="4" w:space="0" w:color="E1E1E1"/>
            </w:tcBorders>
            <w:vAlign w:val="center"/>
          </w:tcPr>
          <w:p w14:paraId="4AB91C7A" w14:textId="77777777" w:rsidR="00CA41A3" w:rsidRPr="003D4CF7" w:rsidRDefault="00CA41A3" w:rsidP="00771C2D">
            <w:pPr>
              <w:jc w:val="center"/>
              <w:rPr>
                <w:rFonts w:asciiTheme="minorHAnsi" w:eastAsia="Calibri" w:hAnsiTheme="minorHAnsi" w:cstheme="minorHAnsi"/>
                <w:kern w:val="18"/>
                <w:sz w:val="18"/>
                <w:szCs w:val="18"/>
                <w:lang w:val="fr-CA"/>
              </w:rPr>
            </w:pPr>
            <w:r>
              <w:rPr>
                <w:rFonts w:asciiTheme="minorHAnsi" w:hAnsiTheme="minorHAnsi" w:cstheme="minorHAnsi"/>
                <w:kern w:val="18"/>
                <w:sz w:val="18"/>
                <w:szCs w:val="18"/>
                <w:lang w:val="fr-CA"/>
              </w:rPr>
              <w:t xml:space="preserve">Pop. </w:t>
            </w:r>
            <w:proofErr w:type="spellStart"/>
            <w:r w:rsidRPr="00941753">
              <w:rPr>
                <w:rFonts w:asciiTheme="minorHAnsi" w:hAnsiTheme="minorHAnsi" w:cstheme="minorHAnsi"/>
                <w:kern w:val="18"/>
                <w:sz w:val="18"/>
                <w:szCs w:val="18"/>
                <w:lang w:val="fr-CA"/>
              </w:rPr>
              <w:t>gé</w:t>
            </w:r>
            <w:r>
              <w:rPr>
                <w:rFonts w:asciiTheme="minorHAnsi" w:hAnsiTheme="minorHAnsi" w:cstheme="minorHAnsi"/>
                <w:kern w:val="18"/>
                <w:sz w:val="18"/>
                <w:szCs w:val="18"/>
                <w:lang w:val="fr-CA"/>
              </w:rPr>
              <w:t>n</w:t>
            </w:r>
            <w:proofErr w:type="spellEnd"/>
            <w:r>
              <w:rPr>
                <w:rFonts w:asciiTheme="minorHAnsi" w:hAnsiTheme="minorHAnsi" w:cstheme="minorHAnsi"/>
                <w:kern w:val="18"/>
                <w:sz w:val="18"/>
                <w:szCs w:val="18"/>
                <w:lang w:val="fr-CA"/>
              </w:rPr>
              <w:t>.</w:t>
            </w:r>
          </w:p>
        </w:tc>
        <w:tc>
          <w:tcPr>
            <w:tcW w:w="1358" w:type="dxa"/>
            <w:tcBorders>
              <w:top w:val="single" w:sz="4" w:space="0" w:color="E1E1E1"/>
              <w:left w:val="single" w:sz="4" w:space="0" w:color="E1E1E1"/>
              <w:bottom w:val="single" w:sz="4" w:space="0" w:color="E1E1E1"/>
              <w:right w:val="single" w:sz="4" w:space="0" w:color="E1E1E1"/>
            </w:tcBorders>
            <w:vAlign w:val="center"/>
          </w:tcPr>
          <w:p w14:paraId="3A864E29" w14:textId="77777777" w:rsidR="00CA41A3" w:rsidRPr="003D4CF7" w:rsidRDefault="00CA41A3" w:rsidP="00771C2D">
            <w:pPr>
              <w:jc w:val="center"/>
              <w:rPr>
                <w:rFonts w:asciiTheme="minorHAnsi" w:eastAsia="Calibri" w:hAnsiTheme="minorHAnsi" w:cstheme="minorHAnsi"/>
                <w:kern w:val="18"/>
                <w:sz w:val="18"/>
                <w:szCs w:val="18"/>
                <w:lang w:val="fr-CA"/>
              </w:rPr>
            </w:pPr>
            <w:r w:rsidRPr="003D4CF7">
              <w:rPr>
                <w:rFonts w:asciiTheme="minorHAnsi" w:eastAsia="Calibri" w:hAnsiTheme="minorHAnsi" w:cstheme="minorHAnsi"/>
                <w:kern w:val="18"/>
                <w:sz w:val="18"/>
                <w:szCs w:val="18"/>
                <w:lang w:val="fr-CA"/>
              </w:rPr>
              <w:t>4</w:t>
            </w:r>
          </w:p>
        </w:tc>
      </w:tr>
      <w:tr w:rsidR="00CA41A3" w:rsidRPr="003D4CF7" w14:paraId="1B9DD6B3" w14:textId="77777777" w:rsidTr="00771C2D">
        <w:trPr>
          <w:trHeight w:val="272"/>
        </w:trPr>
        <w:tc>
          <w:tcPr>
            <w:tcW w:w="2694" w:type="dxa"/>
            <w:tcBorders>
              <w:top w:val="single" w:sz="4" w:space="0" w:color="E1E1E1"/>
              <w:left w:val="single" w:sz="4" w:space="0" w:color="E1E1E1"/>
              <w:bottom w:val="single" w:sz="4" w:space="0" w:color="E1E1E1"/>
              <w:right w:val="single" w:sz="4" w:space="0" w:color="E1E1E1"/>
            </w:tcBorders>
            <w:vAlign w:val="center"/>
          </w:tcPr>
          <w:p w14:paraId="0E933012" w14:textId="77777777" w:rsidR="00CA41A3" w:rsidRPr="003D4CF7" w:rsidRDefault="00CA41A3" w:rsidP="00771C2D">
            <w:pPr>
              <w:jc w:val="center"/>
              <w:rPr>
                <w:rFonts w:asciiTheme="minorHAnsi" w:eastAsia="Calibri" w:hAnsiTheme="minorHAnsi" w:cstheme="minorHAnsi"/>
                <w:kern w:val="18"/>
                <w:sz w:val="18"/>
                <w:szCs w:val="18"/>
                <w:lang w:val="fr-CA"/>
              </w:rPr>
            </w:pPr>
            <w:r w:rsidRPr="003D4CF7">
              <w:rPr>
                <w:rFonts w:asciiTheme="minorHAnsi" w:eastAsia="Calibri" w:hAnsiTheme="minorHAnsi" w:cstheme="minorHAnsi"/>
                <w:kern w:val="18"/>
                <w:sz w:val="18"/>
                <w:szCs w:val="18"/>
                <w:lang w:val="fr-CA"/>
              </w:rPr>
              <w:t>Alberta –</w:t>
            </w:r>
            <w:r>
              <w:rPr>
                <w:rFonts w:asciiTheme="minorHAnsi" w:eastAsia="Calibri" w:hAnsiTheme="minorHAnsi" w:cstheme="minorHAnsi"/>
                <w:kern w:val="18"/>
                <w:sz w:val="18"/>
                <w:szCs w:val="18"/>
                <w:lang w:val="fr-CA"/>
              </w:rPr>
              <w:t xml:space="preserve"> Communautés du nord</w:t>
            </w:r>
          </w:p>
        </w:tc>
        <w:tc>
          <w:tcPr>
            <w:tcW w:w="993" w:type="dxa"/>
            <w:tcBorders>
              <w:top w:val="single" w:sz="4" w:space="0" w:color="E1E1E1"/>
              <w:left w:val="single" w:sz="4" w:space="0" w:color="E1E1E1"/>
              <w:bottom w:val="single" w:sz="4" w:space="0" w:color="E1E1E1"/>
              <w:right w:val="single" w:sz="4" w:space="0" w:color="E1E1E1"/>
            </w:tcBorders>
            <w:vAlign w:val="center"/>
          </w:tcPr>
          <w:p w14:paraId="3FA7CA67" w14:textId="77777777" w:rsidR="00CA41A3" w:rsidRPr="003D4CF7" w:rsidRDefault="00CA41A3" w:rsidP="00771C2D">
            <w:pPr>
              <w:jc w:val="center"/>
              <w:rPr>
                <w:rFonts w:asciiTheme="minorHAnsi" w:eastAsia="Calibri" w:hAnsiTheme="minorHAnsi" w:cstheme="minorHAnsi"/>
                <w:kern w:val="18"/>
                <w:sz w:val="18"/>
                <w:szCs w:val="18"/>
                <w:lang w:val="fr-CA"/>
              </w:rPr>
            </w:pPr>
            <w:r w:rsidRPr="003D4CF7">
              <w:rPr>
                <w:rFonts w:asciiTheme="minorHAnsi" w:eastAsia="Calibri" w:hAnsiTheme="minorHAnsi" w:cstheme="minorHAnsi"/>
                <w:kern w:val="18"/>
                <w:sz w:val="18"/>
                <w:szCs w:val="18"/>
                <w:lang w:val="fr-CA"/>
              </w:rPr>
              <w:t>7</w:t>
            </w:r>
          </w:p>
        </w:tc>
        <w:tc>
          <w:tcPr>
            <w:tcW w:w="1134" w:type="dxa"/>
            <w:tcBorders>
              <w:top w:val="single" w:sz="4" w:space="0" w:color="E1E1E1"/>
              <w:left w:val="single" w:sz="4" w:space="0" w:color="E1E1E1"/>
              <w:bottom w:val="single" w:sz="4" w:space="0" w:color="E1E1E1"/>
              <w:right w:val="single" w:sz="4" w:space="0" w:color="E1E1E1"/>
            </w:tcBorders>
            <w:vAlign w:val="center"/>
          </w:tcPr>
          <w:p w14:paraId="230C9D2C" w14:textId="77777777" w:rsidR="00CA41A3" w:rsidRPr="003D4CF7" w:rsidRDefault="00CA41A3" w:rsidP="00771C2D">
            <w:pPr>
              <w:jc w:val="center"/>
              <w:rPr>
                <w:rFonts w:asciiTheme="minorHAnsi" w:eastAsia="Calibri" w:hAnsiTheme="minorHAnsi" w:cstheme="minorHAnsi"/>
                <w:kern w:val="18"/>
                <w:sz w:val="18"/>
                <w:szCs w:val="18"/>
                <w:lang w:val="fr-CA"/>
              </w:rPr>
            </w:pPr>
            <w:r w:rsidRPr="00941753">
              <w:rPr>
                <w:rFonts w:ascii="Calibri" w:eastAsia="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35F66CF6" w14:textId="77777777" w:rsidR="00CA41A3" w:rsidRPr="003D4CF7" w:rsidRDefault="00CA41A3" w:rsidP="00771C2D">
            <w:pPr>
              <w:jc w:val="center"/>
              <w:rPr>
                <w:lang w:val="fr-CA"/>
              </w:rPr>
            </w:pPr>
            <w:r w:rsidRPr="003D4CF7">
              <w:rPr>
                <w:rFonts w:asciiTheme="minorHAnsi" w:eastAsia="Calibri" w:hAnsiTheme="minorHAnsi" w:cstheme="minorHAnsi"/>
                <w:kern w:val="18"/>
                <w:sz w:val="18"/>
                <w:szCs w:val="18"/>
                <w:lang w:val="fr-CA"/>
              </w:rPr>
              <w:t>19</w:t>
            </w:r>
            <w:r>
              <w:rPr>
                <w:rFonts w:asciiTheme="minorHAnsi" w:eastAsia="Calibri" w:hAnsiTheme="minorHAnsi" w:cstheme="minorHAnsi"/>
                <w:kern w:val="18"/>
                <w:sz w:val="18"/>
                <w:szCs w:val="18"/>
                <w:lang w:val="fr-CA"/>
              </w:rPr>
              <w:t xml:space="preserve"> oct.</w:t>
            </w:r>
          </w:p>
        </w:tc>
        <w:tc>
          <w:tcPr>
            <w:tcW w:w="992" w:type="dxa"/>
            <w:tcBorders>
              <w:top w:val="single" w:sz="4" w:space="0" w:color="E1E1E1"/>
              <w:left w:val="single" w:sz="4" w:space="0" w:color="E1E1E1"/>
              <w:bottom w:val="single" w:sz="4" w:space="0" w:color="E1E1E1"/>
              <w:right w:val="single" w:sz="4" w:space="0" w:color="E1E1E1"/>
            </w:tcBorders>
            <w:vAlign w:val="center"/>
          </w:tcPr>
          <w:p w14:paraId="49BEFA40" w14:textId="77777777" w:rsidR="00CA41A3" w:rsidRPr="003D4CF7" w:rsidRDefault="00CA41A3" w:rsidP="00771C2D">
            <w:pPr>
              <w:jc w:val="center"/>
              <w:rPr>
                <w:rFonts w:asciiTheme="minorHAnsi" w:eastAsia="Calibri" w:hAnsiTheme="minorHAnsi" w:cstheme="minorHAnsi"/>
                <w:kern w:val="18"/>
                <w:sz w:val="18"/>
                <w:szCs w:val="18"/>
                <w:lang w:val="fr-CA"/>
              </w:rPr>
            </w:pPr>
            <w:r w:rsidRPr="00941753">
              <w:rPr>
                <w:rFonts w:ascii="Calibri" w:eastAsia="Calibri" w:hAnsi="Calibri" w:cs="Calibri"/>
                <w:kern w:val="18"/>
                <w:sz w:val="18"/>
                <w:szCs w:val="18"/>
                <w:lang w:val="fr-CA"/>
              </w:rPr>
              <w:t>20 h-22 h</w:t>
            </w:r>
          </w:p>
        </w:tc>
        <w:tc>
          <w:tcPr>
            <w:tcW w:w="1559" w:type="dxa"/>
            <w:tcBorders>
              <w:top w:val="single" w:sz="4" w:space="0" w:color="E1E1E1"/>
              <w:left w:val="single" w:sz="4" w:space="0" w:color="E1E1E1"/>
              <w:bottom w:val="single" w:sz="4" w:space="0" w:color="E1E1E1"/>
              <w:right w:val="single" w:sz="4" w:space="0" w:color="E1E1E1"/>
            </w:tcBorders>
            <w:vAlign w:val="center"/>
          </w:tcPr>
          <w:p w14:paraId="3E933DC5" w14:textId="77777777" w:rsidR="00CA41A3" w:rsidRPr="003D4CF7" w:rsidRDefault="00CA41A3" w:rsidP="00771C2D">
            <w:pPr>
              <w:jc w:val="center"/>
              <w:rPr>
                <w:rFonts w:asciiTheme="minorHAnsi" w:eastAsia="Calibri" w:hAnsiTheme="minorHAnsi" w:cstheme="minorHAnsi"/>
                <w:kern w:val="18"/>
                <w:sz w:val="18"/>
                <w:szCs w:val="18"/>
                <w:lang w:val="fr-CA"/>
              </w:rPr>
            </w:pPr>
            <w:r>
              <w:rPr>
                <w:rFonts w:asciiTheme="minorHAnsi" w:hAnsiTheme="minorHAnsi" w:cstheme="minorHAnsi"/>
                <w:kern w:val="18"/>
                <w:sz w:val="18"/>
                <w:szCs w:val="18"/>
                <w:lang w:val="fr-CA"/>
              </w:rPr>
              <w:t xml:space="preserve">Pop. </w:t>
            </w:r>
            <w:proofErr w:type="spellStart"/>
            <w:r w:rsidRPr="00941753">
              <w:rPr>
                <w:rFonts w:asciiTheme="minorHAnsi" w:hAnsiTheme="minorHAnsi" w:cstheme="minorHAnsi"/>
                <w:kern w:val="18"/>
                <w:sz w:val="18"/>
                <w:szCs w:val="18"/>
                <w:lang w:val="fr-CA"/>
              </w:rPr>
              <w:t>gé</w:t>
            </w:r>
            <w:r>
              <w:rPr>
                <w:rFonts w:asciiTheme="minorHAnsi" w:hAnsiTheme="minorHAnsi" w:cstheme="minorHAnsi"/>
                <w:kern w:val="18"/>
                <w:sz w:val="18"/>
                <w:szCs w:val="18"/>
                <w:lang w:val="fr-CA"/>
              </w:rPr>
              <w:t>n</w:t>
            </w:r>
            <w:proofErr w:type="spellEnd"/>
            <w:r>
              <w:rPr>
                <w:rFonts w:asciiTheme="minorHAnsi" w:hAnsiTheme="minorHAnsi" w:cstheme="minorHAnsi"/>
                <w:kern w:val="18"/>
                <w:sz w:val="18"/>
                <w:szCs w:val="18"/>
                <w:lang w:val="fr-CA"/>
              </w:rPr>
              <w:t>.</w:t>
            </w:r>
          </w:p>
        </w:tc>
        <w:tc>
          <w:tcPr>
            <w:tcW w:w="1358" w:type="dxa"/>
            <w:tcBorders>
              <w:top w:val="single" w:sz="4" w:space="0" w:color="E1E1E1"/>
              <w:left w:val="single" w:sz="4" w:space="0" w:color="E1E1E1"/>
              <w:bottom w:val="single" w:sz="4" w:space="0" w:color="E1E1E1"/>
              <w:right w:val="single" w:sz="4" w:space="0" w:color="E1E1E1"/>
            </w:tcBorders>
            <w:vAlign w:val="center"/>
          </w:tcPr>
          <w:p w14:paraId="31B58436" w14:textId="77777777" w:rsidR="00CA41A3" w:rsidRPr="003D4CF7" w:rsidRDefault="00CA41A3" w:rsidP="00771C2D">
            <w:pPr>
              <w:jc w:val="center"/>
              <w:rPr>
                <w:rFonts w:asciiTheme="minorHAnsi" w:eastAsia="Calibri" w:hAnsiTheme="minorHAnsi" w:cstheme="minorHAnsi"/>
                <w:kern w:val="18"/>
                <w:sz w:val="18"/>
                <w:szCs w:val="18"/>
                <w:lang w:val="fr-CA"/>
              </w:rPr>
            </w:pPr>
            <w:r w:rsidRPr="003D4CF7">
              <w:rPr>
                <w:rFonts w:asciiTheme="minorHAnsi" w:eastAsia="Calibri" w:hAnsiTheme="minorHAnsi" w:cstheme="minorHAnsi"/>
                <w:kern w:val="18"/>
                <w:sz w:val="18"/>
                <w:szCs w:val="18"/>
                <w:lang w:val="fr-CA"/>
              </w:rPr>
              <w:t>6</w:t>
            </w:r>
          </w:p>
        </w:tc>
      </w:tr>
      <w:tr w:rsidR="00CA41A3" w:rsidRPr="003D4CF7" w14:paraId="25695EBA" w14:textId="77777777" w:rsidTr="00771C2D">
        <w:trPr>
          <w:trHeight w:val="272"/>
        </w:trPr>
        <w:tc>
          <w:tcPr>
            <w:tcW w:w="2694" w:type="dxa"/>
            <w:tcBorders>
              <w:top w:val="single" w:sz="4" w:space="0" w:color="E1E1E1"/>
              <w:left w:val="single" w:sz="4" w:space="0" w:color="E1E1E1"/>
              <w:bottom w:val="single" w:sz="4" w:space="0" w:color="E1E1E1"/>
              <w:right w:val="single" w:sz="4" w:space="0" w:color="E1E1E1"/>
            </w:tcBorders>
            <w:vAlign w:val="center"/>
          </w:tcPr>
          <w:p w14:paraId="114244A8" w14:textId="77777777" w:rsidR="00CA41A3" w:rsidRPr="003D4CF7" w:rsidRDefault="00CA41A3" w:rsidP="00771C2D">
            <w:pPr>
              <w:jc w:val="center"/>
              <w:rPr>
                <w:rFonts w:asciiTheme="minorHAnsi" w:eastAsia="Calibri" w:hAnsiTheme="minorHAnsi" w:cstheme="minorHAnsi"/>
                <w:kern w:val="18"/>
                <w:sz w:val="18"/>
                <w:szCs w:val="18"/>
                <w:lang w:val="fr-CA"/>
              </w:rPr>
            </w:pPr>
            <w:r w:rsidRPr="003D4CF7">
              <w:rPr>
                <w:rFonts w:asciiTheme="minorHAnsi" w:eastAsia="Calibri" w:hAnsiTheme="minorHAnsi" w:cstheme="minorHAnsi"/>
                <w:kern w:val="18"/>
                <w:sz w:val="18"/>
                <w:szCs w:val="18"/>
                <w:lang w:val="fr-CA"/>
              </w:rPr>
              <w:t>Manitoba</w:t>
            </w:r>
          </w:p>
        </w:tc>
        <w:tc>
          <w:tcPr>
            <w:tcW w:w="993" w:type="dxa"/>
            <w:tcBorders>
              <w:top w:val="single" w:sz="4" w:space="0" w:color="E1E1E1"/>
              <w:left w:val="single" w:sz="4" w:space="0" w:color="E1E1E1"/>
              <w:bottom w:val="single" w:sz="4" w:space="0" w:color="E1E1E1"/>
              <w:right w:val="single" w:sz="4" w:space="0" w:color="E1E1E1"/>
            </w:tcBorders>
            <w:vAlign w:val="center"/>
          </w:tcPr>
          <w:p w14:paraId="36509A47" w14:textId="77777777" w:rsidR="00CA41A3" w:rsidRPr="003D4CF7" w:rsidRDefault="00CA41A3" w:rsidP="00771C2D">
            <w:pPr>
              <w:jc w:val="center"/>
              <w:rPr>
                <w:rFonts w:asciiTheme="minorHAnsi" w:eastAsia="Calibri" w:hAnsiTheme="minorHAnsi" w:cstheme="minorHAnsi"/>
                <w:kern w:val="18"/>
                <w:sz w:val="18"/>
                <w:szCs w:val="18"/>
                <w:lang w:val="fr-CA"/>
              </w:rPr>
            </w:pPr>
            <w:r w:rsidRPr="003D4CF7">
              <w:rPr>
                <w:rFonts w:asciiTheme="minorHAnsi" w:eastAsia="Calibri" w:hAnsiTheme="minorHAnsi" w:cstheme="minorHAnsi"/>
                <w:kern w:val="18"/>
                <w:sz w:val="18"/>
                <w:szCs w:val="18"/>
                <w:lang w:val="fr-CA"/>
              </w:rPr>
              <w:t>8</w:t>
            </w:r>
          </w:p>
        </w:tc>
        <w:tc>
          <w:tcPr>
            <w:tcW w:w="1134" w:type="dxa"/>
            <w:tcBorders>
              <w:top w:val="single" w:sz="4" w:space="0" w:color="E1E1E1"/>
              <w:left w:val="single" w:sz="4" w:space="0" w:color="E1E1E1"/>
              <w:bottom w:val="single" w:sz="4" w:space="0" w:color="E1E1E1"/>
              <w:right w:val="single" w:sz="4" w:space="0" w:color="E1E1E1"/>
            </w:tcBorders>
            <w:vAlign w:val="center"/>
          </w:tcPr>
          <w:p w14:paraId="4D3B66F1" w14:textId="77777777" w:rsidR="00CA41A3" w:rsidRPr="003D4CF7" w:rsidRDefault="00CA41A3" w:rsidP="00771C2D">
            <w:pPr>
              <w:jc w:val="center"/>
              <w:rPr>
                <w:rFonts w:asciiTheme="minorHAnsi" w:eastAsia="Calibri" w:hAnsiTheme="minorHAnsi" w:cstheme="minorHAnsi"/>
                <w:kern w:val="18"/>
                <w:sz w:val="18"/>
                <w:szCs w:val="18"/>
                <w:lang w:val="fr-CA"/>
              </w:rPr>
            </w:pPr>
            <w:r w:rsidRPr="00941753">
              <w:rPr>
                <w:rFonts w:ascii="Calibri" w:eastAsia="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7AE8FA86" w14:textId="77777777" w:rsidR="00CA41A3" w:rsidRPr="003D4CF7" w:rsidRDefault="00CA41A3" w:rsidP="00771C2D">
            <w:pPr>
              <w:jc w:val="center"/>
              <w:rPr>
                <w:lang w:val="fr-CA"/>
              </w:rPr>
            </w:pPr>
            <w:r w:rsidRPr="003D4CF7">
              <w:rPr>
                <w:rFonts w:asciiTheme="minorHAnsi" w:eastAsia="Calibri" w:hAnsiTheme="minorHAnsi" w:cstheme="minorHAnsi"/>
                <w:kern w:val="18"/>
                <w:sz w:val="18"/>
                <w:szCs w:val="18"/>
                <w:lang w:val="fr-CA"/>
              </w:rPr>
              <w:t>20</w:t>
            </w:r>
            <w:r>
              <w:rPr>
                <w:rFonts w:asciiTheme="minorHAnsi" w:eastAsia="Calibri" w:hAnsiTheme="minorHAnsi" w:cstheme="minorHAnsi"/>
                <w:kern w:val="18"/>
                <w:sz w:val="18"/>
                <w:szCs w:val="18"/>
                <w:lang w:val="fr-CA"/>
              </w:rPr>
              <w:t xml:space="preserve"> oct.</w:t>
            </w:r>
          </w:p>
        </w:tc>
        <w:tc>
          <w:tcPr>
            <w:tcW w:w="992" w:type="dxa"/>
            <w:tcBorders>
              <w:top w:val="single" w:sz="4" w:space="0" w:color="E1E1E1"/>
              <w:left w:val="single" w:sz="4" w:space="0" w:color="E1E1E1"/>
              <w:bottom w:val="single" w:sz="4" w:space="0" w:color="E1E1E1"/>
              <w:right w:val="single" w:sz="4" w:space="0" w:color="E1E1E1"/>
            </w:tcBorders>
            <w:vAlign w:val="center"/>
          </w:tcPr>
          <w:p w14:paraId="56DFD1C0" w14:textId="77777777" w:rsidR="00CA41A3" w:rsidRPr="003D4CF7" w:rsidRDefault="00CA41A3" w:rsidP="00771C2D">
            <w:pPr>
              <w:jc w:val="center"/>
              <w:rPr>
                <w:rFonts w:asciiTheme="minorHAnsi" w:eastAsia="Calibri" w:hAnsiTheme="minorHAnsi" w:cstheme="minorHAnsi"/>
                <w:kern w:val="18"/>
                <w:sz w:val="18"/>
                <w:szCs w:val="18"/>
                <w:lang w:val="fr-CA"/>
              </w:rPr>
            </w:pPr>
            <w:r w:rsidRPr="00941753">
              <w:rPr>
                <w:rFonts w:asciiTheme="minorHAnsi" w:eastAsia="Calibri" w:hAnsiTheme="minorHAnsi" w:cstheme="minorHAnsi"/>
                <w:kern w:val="18"/>
                <w:sz w:val="18"/>
                <w:szCs w:val="18"/>
                <w:lang w:val="fr-CA"/>
              </w:rPr>
              <w:t>19 h-21 h</w:t>
            </w:r>
          </w:p>
        </w:tc>
        <w:tc>
          <w:tcPr>
            <w:tcW w:w="1559" w:type="dxa"/>
            <w:tcBorders>
              <w:top w:val="single" w:sz="4" w:space="0" w:color="E1E1E1"/>
              <w:left w:val="single" w:sz="4" w:space="0" w:color="E1E1E1"/>
              <w:bottom w:val="single" w:sz="4" w:space="0" w:color="E1E1E1"/>
              <w:right w:val="single" w:sz="4" w:space="0" w:color="E1E1E1"/>
            </w:tcBorders>
            <w:vAlign w:val="center"/>
          </w:tcPr>
          <w:p w14:paraId="637EA251" w14:textId="77777777" w:rsidR="00CA41A3" w:rsidRPr="003D4CF7" w:rsidRDefault="00CA41A3" w:rsidP="00771C2D">
            <w:pPr>
              <w:jc w:val="center"/>
              <w:rPr>
                <w:rFonts w:asciiTheme="minorHAnsi" w:eastAsia="Calibri" w:hAnsiTheme="minorHAnsi" w:cstheme="minorHAnsi"/>
                <w:kern w:val="18"/>
                <w:sz w:val="18"/>
                <w:szCs w:val="18"/>
                <w:lang w:val="fr-CA"/>
              </w:rPr>
            </w:pPr>
            <w:r>
              <w:rPr>
                <w:rFonts w:asciiTheme="minorHAnsi" w:hAnsiTheme="minorHAnsi" w:cstheme="minorHAnsi"/>
                <w:kern w:val="18"/>
                <w:sz w:val="18"/>
                <w:szCs w:val="18"/>
                <w:lang w:val="fr-CA"/>
              </w:rPr>
              <w:t xml:space="preserve">Pop. </w:t>
            </w:r>
            <w:proofErr w:type="spellStart"/>
            <w:r w:rsidRPr="00941753">
              <w:rPr>
                <w:rFonts w:asciiTheme="minorHAnsi" w:hAnsiTheme="minorHAnsi" w:cstheme="minorHAnsi"/>
                <w:kern w:val="18"/>
                <w:sz w:val="18"/>
                <w:szCs w:val="18"/>
                <w:lang w:val="fr-CA"/>
              </w:rPr>
              <w:t>gé</w:t>
            </w:r>
            <w:r>
              <w:rPr>
                <w:rFonts w:asciiTheme="minorHAnsi" w:hAnsiTheme="minorHAnsi" w:cstheme="minorHAnsi"/>
                <w:kern w:val="18"/>
                <w:sz w:val="18"/>
                <w:szCs w:val="18"/>
                <w:lang w:val="fr-CA"/>
              </w:rPr>
              <w:t>n</w:t>
            </w:r>
            <w:proofErr w:type="spellEnd"/>
            <w:r>
              <w:rPr>
                <w:rFonts w:asciiTheme="minorHAnsi" w:hAnsiTheme="minorHAnsi" w:cstheme="minorHAnsi"/>
                <w:kern w:val="18"/>
                <w:sz w:val="18"/>
                <w:szCs w:val="18"/>
                <w:lang w:val="fr-CA"/>
              </w:rPr>
              <w:t>.</w:t>
            </w:r>
          </w:p>
        </w:tc>
        <w:tc>
          <w:tcPr>
            <w:tcW w:w="1358" w:type="dxa"/>
            <w:tcBorders>
              <w:top w:val="single" w:sz="4" w:space="0" w:color="E1E1E1"/>
              <w:left w:val="single" w:sz="4" w:space="0" w:color="E1E1E1"/>
              <w:bottom w:val="single" w:sz="4" w:space="0" w:color="E1E1E1"/>
              <w:right w:val="single" w:sz="4" w:space="0" w:color="E1E1E1"/>
            </w:tcBorders>
            <w:vAlign w:val="center"/>
          </w:tcPr>
          <w:p w14:paraId="0C25E907" w14:textId="77777777" w:rsidR="00CA41A3" w:rsidRPr="003D4CF7" w:rsidRDefault="00CA41A3" w:rsidP="00771C2D">
            <w:pPr>
              <w:jc w:val="center"/>
              <w:rPr>
                <w:rFonts w:asciiTheme="minorHAnsi" w:eastAsia="Calibri" w:hAnsiTheme="minorHAnsi" w:cstheme="minorHAnsi"/>
                <w:kern w:val="18"/>
                <w:sz w:val="18"/>
                <w:szCs w:val="18"/>
                <w:lang w:val="fr-CA"/>
              </w:rPr>
            </w:pPr>
            <w:r w:rsidRPr="003D4CF7">
              <w:rPr>
                <w:rFonts w:asciiTheme="minorHAnsi" w:eastAsia="Calibri" w:hAnsiTheme="minorHAnsi" w:cstheme="minorHAnsi"/>
                <w:kern w:val="18"/>
                <w:sz w:val="18"/>
                <w:szCs w:val="18"/>
                <w:lang w:val="fr-CA"/>
              </w:rPr>
              <w:t>7</w:t>
            </w:r>
          </w:p>
        </w:tc>
      </w:tr>
      <w:tr w:rsidR="00CA41A3" w:rsidRPr="003D4CF7" w14:paraId="1F8A59B4" w14:textId="77777777" w:rsidTr="00771C2D">
        <w:trPr>
          <w:trHeight w:val="272"/>
        </w:trPr>
        <w:tc>
          <w:tcPr>
            <w:tcW w:w="2694" w:type="dxa"/>
            <w:tcBorders>
              <w:top w:val="single" w:sz="4" w:space="0" w:color="E1E1E1"/>
              <w:left w:val="single" w:sz="4" w:space="0" w:color="E1E1E1"/>
              <w:bottom w:val="single" w:sz="4" w:space="0" w:color="E1E1E1"/>
              <w:right w:val="single" w:sz="4" w:space="0" w:color="E1E1E1"/>
            </w:tcBorders>
            <w:vAlign w:val="center"/>
          </w:tcPr>
          <w:p w14:paraId="5663CD5A" w14:textId="77777777" w:rsidR="00CA41A3" w:rsidRPr="003D4CF7" w:rsidRDefault="00CA41A3" w:rsidP="00771C2D">
            <w:pPr>
              <w:jc w:val="center"/>
              <w:rPr>
                <w:rFonts w:asciiTheme="minorHAnsi" w:eastAsia="Calibri" w:hAnsiTheme="minorHAnsi" w:cstheme="minorHAnsi"/>
                <w:kern w:val="18"/>
                <w:sz w:val="18"/>
                <w:szCs w:val="18"/>
                <w:lang w:val="fr-CA"/>
              </w:rPr>
            </w:pPr>
            <w:r w:rsidRPr="003D4CF7">
              <w:rPr>
                <w:rFonts w:asciiTheme="minorHAnsi" w:eastAsia="Calibri" w:hAnsiTheme="minorHAnsi" w:cstheme="minorHAnsi"/>
                <w:kern w:val="18"/>
                <w:sz w:val="18"/>
                <w:szCs w:val="18"/>
                <w:lang w:val="fr-CA"/>
              </w:rPr>
              <w:t>Yellowknife</w:t>
            </w:r>
          </w:p>
        </w:tc>
        <w:tc>
          <w:tcPr>
            <w:tcW w:w="993" w:type="dxa"/>
            <w:tcBorders>
              <w:top w:val="single" w:sz="4" w:space="0" w:color="E1E1E1"/>
              <w:left w:val="single" w:sz="4" w:space="0" w:color="E1E1E1"/>
              <w:bottom w:val="single" w:sz="4" w:space="0" w:color="E1E1E1"/>
              <w:right w:val="single" w:sz="4" w:space="0" w:color="E1E1E1"/>
            </w:tcBorders>
            <w:vAlign w:val="center"/>
          </w:tcPr>
          <w:p w14:paraId="4DC9CFFC" w14:textId="77777777" w:rsidR="00CA41A3" w:rsidRPr="003D4CF7" w:rsidRDefault="00CA41A3" w:rsidP="00771C2D">
            <w:pPr>
              <w:jc w:val="center"/>
              <w:rPr>
                <w:rFonts w:asciiTheme="minorHAnsi" w:eastAsia="Calibri" w:hAnsiTheme="minorHAnsi" w:cstheme="minorHAnsi"/>
                <w:kern w:val="18"/>
                <w:sz w:val="18"/>
                <w:szCs w:val="18"/>
                <w:lang w:val="fr-CA"/>
              </w:rPr>
            </w:pPr>
            <w:r w:rsidRPr="003D4CF7">
              <w:rPr>
                <w:rFonts w:asciiTheme="minorHAnsi" w:eastAsia="Calibri" w:hAnsiTheme="minorHAnsi" w:cstheme="minorHAnsi"/>
                <w:kern w:val="18"/>
                <w:sz w:val="18"/>
                <w:szCs w:val="18"/>
                <w:lang w:val="fr-CA"/>
              </w:rPr>
              <w:t>9</w:t>
            </w:r>
          </w:p>
        </w:tc>
        <w:tc>
          <w:tcPr>
            <w:tcW w:w="1134" w:type="dxa"/>
            <w:tcBorders>
              <w:top w:val="single" w:sz="4" w:space="0" w:color="E1E1E1"/>
              <w:left w:val="single" w:sz="4" w:space="0" w:color="E1E1E1"/>
              <w:bottom w:val="single" w:sz="4" w:space="0" w:color="E1E1E1"/>
              <w:right w:val="single" w:sz="4" w:space="0" w:color="E1E1E1"/>
            </w:tcBorders>
            <w:vAlign w:val="center"/>
          </w:tcPr>
          <w:p w14:paraId="523CCBAA" w14:textId="77777777" w:rsidR="00CA41A3" w:rsidRPr="003D4CF7" w:rsidRDefault="00CA41A3" w:rsidP="00771C2D">
            <w:pPr>
              <w:jc w:val="center"/>
              <w:rPr>
                <w:rFonts w:asciiTheme="minorHAnsi" w:eastAsia="Calibri" w:hAnsiTheme="minorHAnsi" w:cstheme="minorHAnsi"/>
                <w:kern w:val="18"/>
                <w:sz w:val="18"/>
                <w:szCs w:val="18"/>
                <w:lang w:val="fr-CA"/>
              </w:rPr>
            </w:pPr>
            <w:r w:rsidRPr="00941753">
              <w:rPr>
                <w:rFonts w:ascii="Calibri" w:eastAsia="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015E1FCA" w14:textId="77777777" w:rsidR="00CA41A3" w:rsidRPr="003D4CF7" w:rsidRDefault="00CA41A3" w:rsidP="00771C2D">
            <w:pPr>
              <w:jc w:val="center"/>
              <w:rPr>
                <w:lang w:val="fr-CA"/>
              </w:rPr>
            </w:pPr>
            <w:r w:rsidRPr="003D4CF7">
              <w:rPr>
                <w:rFonts w:asciiTheme="minorHAnsi" w:eastAsia="Calibri" w:hAnsiTheme="minorHAnsi" w:cstheme="minorHAnsi"/>
                <w:kern w:val="18"/>
                <w:sz w:val="18"/>
                <w:szCs w:val="18"/>
                <w:lang w:val="fr-CA"/>
              </w:rPr>
              <w:t>21</w:t>
            </w:r>
            <w:r>
              <w:rPr>
                <w:rFonts w:asciiTheme="minorHAnsi" w:eastAsia="Calibri" w:hAnsiTheme="minorHAnsi" w:cstheme="minorHAnsi"/>
                <w:kern w:val="18"/>
                <w:sz w:val="18"/>
                <w:szCs w:val="18"/>
                <w:lang w:val="fr-CA"/>
              </w:rPr>
              <w:t xml:space="preserve"> oct.</w:t>
            </w:r>
          </w:p>
        </w:tc>
        <w:tc>
          <w:tcPr>
            <w:tcW w:w="992" w:type="dxa"/>
            <w:tcBorders>
              <w:top w:val="single" w:sz="4" w:space="0" w:color="E1E1E1"/>
              <w:left w:val="single" w:sz="4" w:space="0" w:color="E1E1E1"/>
              <w:bottom w:val="single" w:sz="4" w:space="0" w:color="E1E1E1"/>
              <w:right w:val="single" w:sz="4" w:space="0" w:color="E1E1E1"/>
            </w:tcBorders>
            <w:vAlign w:val="center"/>
          </w:tcPr>
          <w:p w14:paraId="12F6327F" w14:textId="77777777" w:rsidR="00CA41A3" w:rsidRPr="003D4CF7" w:rsidRDefault="00CA41A3" w:rsidP="00771C2D">
            <w:pPr>
              <w:jc w:val="center"/>
              <w:rPr>
                <w:rFonts w:asciiTheme="minorHAnsi" w:eastAsia="Calibri" w:hAnsiTheme="minorHAnsi" w:cstheme="minorHAnsi"/>
                <w:kern w:val="18"/>
                <w:sz w:val="18"/>
                <w:szCs w:val="18"/>
                <w:lang w:val="fr-CA"/>
              </w:rPr>
            </w:pPr>
            <w:r w:rsidRPr="00941753">
              <w:rPr>
                <w:rFonts w:ascii="Calibri" w:eastAsia="Calibri" w:hAnsi="Calibri" w:cs="Calibri"/>
                <w:kern w:val="18"/>
                <w:sz w:val="18"/>
                <w:szCs w:val="18"/>
                <w:lang w:val="fr-CA"/>
              </w:rPr>
              <w:t>20 h-22 h</w:t>
            </w:r>
          </w:p>
        </w:tc>
        <w:tc>
          <w:tcPr>
            <w:tcW w:w="1559" w:type="dxa"/>
            <w:tcBorders>
              <w:top w:val="single" w:sz="4" w:space="0" w:color="E1E1E1"/>
              <w:left w:val="single" w:sz="4" w:space="0" w:color="E1E1E1"/>
              <w:bottom w:val="single" w:sz="4" w:space="0" w:color="E1E1E1"/>
              <w:right w:val="single" w:sz="4" w:space="0" w:color="E1E1E1"/>
            </w:tcBorders>
            <w:vAlign w:val="center"/>
          </w:tcPr>
          <w:p w14:paraId="09FBE8C4" w14:textId="77777777" w:rsidR="00CA41A3" w:rsidRPr="003D4CF7" w:rsidRDefault="00CA41A3" w:rsidP="00771C2D">
            <w:pPr>
              <w:jc w:val="center"/>
              <w:rPr>
                <w:rFonts w:asciiTheme="minorHAnsi" w:eastAsia="Calibri" w:hAnsiTheme="minorHAnsi" w:cstheme="minorHAnsi"/>
                <w:kern w:val="18"/>
                <w:sz w:val="18"/>
                <w:szCs w:val="18"/>
                <w:lang w:val="fr-CA"/>
              </w:rPr>
            </w:pPr>
            <w:r>
              <w:rPr>
                <w:rFonts w:asciiTheme="minorHAnsi" w:hAnsiTheme="minorHAnsi" w:cstheme="minorHAnsi"/>
                <w:kern w:val="18"/>
                <w:sz w:val="18"/>
                <w:szCs w:val="18"/>
                <w:lang w:val="fr-CA"/>
              </w:rPr>
              <w:t xml:space="preserve">Pop. </w:t>
            </w:r>
            <w:proofErr w:type="spellStart"/>
            <w:r w:rsidRPr="00941753">
              <w:rPr>
                <w:rFonts w:asciiTheme="minorHAnsi" w:hAnsiTheme="minorHAnsi" w:cstheme="minorHAnsi"/>
                <w:kern w:val="18"/>
                <w:sz w:val="18"/>
                <w:szCs w:val="18"/>
                <w:lang w:val="fr-CA"/>
              </w:rPr>
              <w:t>gé</w:t>
            </w:r>
            <w:r>
              <w:rPr>
                <w:rFonts w:asciiTheme="minorHAnsi" w:hAnsiTheme="minorHAnsi" w:cstheme="minorHAnsi"/>
                <w:kern w:val="18"/>
                <w:sz w:val="18"/>
                <w:szCs w:val="18"/>
                <w:lang w:val="fr-CA"/>
              </w:rPr>
              <w:t>n</w:t>
            </w:r>
            <w:proofErr w:type="spellEnd"/>
            <w:r>
              <w:rPr>
                <w:rFonts w:asciiTheme="minorHAnsi" w:hAnsiTheme="minorHAnsi" w:cstheme="minorHAnsi"/>
                <w:kern w:val="18"/>
                <w:sz w:val="18"/>
                <w:szCs w:val="18"/>
                <w:lang w:val="fr-CA"/>
              </w:rPr>
              <w:t>.</w:t>
            </w:r>
          </w:p>
        </w:tc>
        <w:tc>
          <w:tcPr>
            <w:tcW w:w="1358" w:type="dxa"/>
            <w:tcBorders>
              <w:top w:val="single" w:sz="4" w:space="0" w:color="E1E1E1"/>
              <w:left w:val="single" w:sz="4" w:space="0" w:color="E1E1E1"/>
              <w:bottom w:val="single" w:sz="4" w:space="0" w:color="E1E1E1"/>
              <w:right w:val="single" w:sz="4" w:space="0" w:color="E1E1E1"/>
            </w:tcBorders>
            <w:vAlign w:val="center"/>
          </w:tcPr>
          <w:p w14:paraId="201D4FC7" w14:textId="77777777" w:rsidR="00CA41A3" w:rsidRPr="003D4CF7" w:rsidRDefault="00CA41A3" w:rsidP="00771C2D">
            <w:pPr>
              <w:jc w:val="center"/>
              <w:rPr>
                <w:rFonts w:asciiTheme="minorHAnsi" w:eastAsia="Calibri" w:hAnsiTheme="minorHAnsi" w:cstheme="minorHAnsi"/>
                <w:kern w:val="18"/>
                <w:sz w:val="18"/>
                <w:szCs w:val="18"/>
                <w:lang w:val="fr-CA"/>
              </w:rPr>
            </w:pPr>
            <w:r w:rsidRPr="003D4CF7">
              <w:rPr>
                <w:rFonts w:asciiTheme="minorHAnsi" w:eastAsia="Calibri" w:hAnsiTheme="minorHAnsi" w:cstheme="minorHAnsi"/>
                <w:kern w:val="18"/>
                <w:sz w:val="18"/>
                <w:szCs w:val="18"/>
                <w:lang w:val="fr-CA"/>
              </w:rPr>
              <w:t>6</w:t>
            </w:r>
          </w:p>
        </w:tc>
      </w:tr>
      <w:tr w:rsidR="00CA41A3" w:rsidRPr="003D4CF7" w14:paraId="10813C71" w14:textId="77777777" w:rsidTr="00771C2D">
        <w:trPr>
          <w:trHeight w:val="272"/>
        </w:trPr>
        <w:tc>
          <w:tcPr>
            <w:tcW w:w="2694" w:type="dxa"/>
            <w:tcBorders>
              <w:top w:val="single" w:sz="4" w:space="0" w:color="E1E1E1"/>
              <w:left w:val="single" w:sz="4" w:space="0" w:color="E1E1E1"/>
              <w:bottom w:val="single" w:sz="4" w:space="0" w:color="E1E1E1"/>
              <w:right w:val="single" w:sz="4" w:space="0" w:color="E1E1E1"/>
            </w:tcBorders>
            <w:vAlign w:val="center"/>
          </w:tcPr>
          <w:p w14:paraId="19A00667" w14:textId="77777777" w:rsidR="00CA41A3" w:rsidRPr="009F55B7" w:rsidRDefault="00CA41A3" w:rsidP="00771C2D">
            <w:pPr>
              <w:jc w:val="center"/>
              <w:rPr>
                <w:rFonts w:asciiTheme="minorHAnsi" w:eastAsia="Calibri" w:hAnsiTheme="minorHAnsi" w:cstheme="minorHAnsi"/>
                <w:kern w:val="18"/>
                <w:sz w:val="18"/>
                <w:szCs w:val="18"/>
              </w:rPr>
            </w:pPr>
            <w:r w:rsidRPr="009F55B7">
              <w:rPr>
                <w:rFonts w:asciiTheme="minorHAnsi" w:eastAsia="Calibri" w:hAnsiTheme="minorHAnsi" w:cstheme="minorHAnsi"/>
                <w:kern w:val="18"/>
                <w:sz w:val="18"/>
                <w:szCs w:val="18"/>
              </w:rPr>
              <w:t>Ontario – Ottawa-Carleton, Toronto, Peel</w:t>
            </w:r>
          </w:p>
        </w:tc>
        <w:tc>
          <w:tcPr>
            <w:tcW w:w="993" w:type="dxa"/>
            <w:tcBorders>
              <w:top w:val="single" w:sz="4" w:space="0" w:color="E1E1E1"/>
              <w:left w:val="single" w:sz="4" w:space="0" w:color="E1E1E1"/>
              <w:bottom w:val="single" w:sz="4" w:space="0" w:color="E1E1E1"/>
              <w:right w:val="single" w:sz="4" w:space="0" w:color="E1E1E1"/>
            </w:tcBorders>
            <w:vAlign w:val="center"/>
          </w:tcPr>
          <w:p w14:paraId="2B225B7F" w14:textId="77777777" w:rsidR="00CA41A3" w:rsidRPr="003D4CF7" w:rsidRDefault="00CA41A3" w:rsidP="00771C2D">
            <w:pPr>
              <w:jc w:val="center"/>
              <w:rPr>
                <w:rFonts w:asciiTheme="minorHAnsi" w:eastAsia="Calibri" w:hAnsiTheme="minorHAnsi" w:cstheme="minorHAnsi"/>
                <w:kern w:val="18"/>
                <w:sz w:val="18"/>
                <w:szCs w:val="18"/>
                <w:lang w:val="fr-CA"/>
              </w:rPr>
            </w:pPr>
            <w:r w:rsidRPr="003D4CF7">
              <w:rPr>
                <w:rFonts w:asciiTheme="minorHAnsi" w:eastAsia="Calibri" w:hAnsiTheme="minorHAnsi" w:cstheme="minorHAnsi"/>
                <w:kern w:val="18"/>
                <w:sz w:val="18"/>
                <w:szCs w:val="18"/>
                <w:lang w:val="fr-CA"/>
              </w:rPr>
              <w:t>10</w:t>
            </w:r>
          </w:p>
        </w:tc>
        <w:tc>
          <w:tcPr>
            <w:tcW w:w="1134" w:type="dxa"/>
            <w:tcBorders>
              <w:top w:val="single" w:sz="4" w:space="0" w:color="E1E1E1"/>
              <w:left w:val="single" w:sz="4" w:space="0" w:color="E1E1E1"/>
              <w:bottom w:val="single" w:sz="4" w:space="0" w:color="E1E1E1"/>
              <w:right w:val="single" w:sz="4" w:space="0" w:color="E1E1E1"/>
            </w:tcBorders>
            <w:vAlign w:val="center"/>
          </w:tcPr>
          <w:p w14:paraId="601CF090" w14:textId="77777777" w:rsidR="00CA41A3" w:rsidRPr="003D4CF7" w:rsidRDefault="00CA41A3" w:rsidP="00771C2D">
            <w:pPr>
              <w:jc w:val="center"/>
              <w:rPr>
                <w:rFonts w:asciiTheme="minorHAnsi" w:eastAsia="Calibri" w:hAnsiTheme="minorHAnsi" w:cstheme="minorHAnsi"/>
                <w:kern w:val="18"/>
                <w:sz w:val="18"/>
                <w:szCs w:val="18"/>
                <w:lang w:val="fr-CA"/>
              </w:rPr>
            </w:pPr>
            <w:r w:rsidRPr="00941753">
              <w:rPr>
                <w:rFonts w:ascii="Calibri" w:eastAsia="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5145A934" w14:textId="77777777" w:rsidR="00CA41A3" w:rsidRPr="003D4CF7" w:rsidRDefault="00CA41A3" w:rsidP="00771C2D">
            <w:pPr>
              <w:jc w:val="center"/>
              <w:rPr>
                <w:lang w:val="fr-CA"/>
              </w:rPr>
            </w:pPr>
            <w:r w:rsidRPr="003D4CF7">
              <w:rPr>
                <w:rFonts w:asciiTheme="minorHAnsi" w:eastAsia="Calibri" w:hAnsiTheme="minorHAnsi" w:cstheme="minorHAnsi"/>
                <w:kern w:val="18"/>
                <w:sz w:val="18"/>
                <w:szCs w:val="18"/>
                <w:lang w:val="fr-CA"/>
              </w:rPr>
              <w:t>26</w:t>
            </w:r>
            <w:r>
              <w:rPr>
                <w:rFonts w:asciiTheme="minorHAnsi" w:eastAsia="Calibri" w:hAnsiTheme="minorHAnsi" w:cstheme="minorHAnsi"/>
                <w:kern w:val="18"/>
                <w:sz w:val="18"/>
                <w:szCs w:val="18"/>
                <w:lang w:val="fr-CA"/>
              </w:rPr>
              <w:t xml:space="preserve"> oct.</w:t>
            </w:r>
          </w:p>
        </w:tc>
        <w:tc>
          <w:tcPr>
            <w:tcW w:w="992" w:type="dxa"/>
            <w:tcBorders>
              <w:top w:val="single" w:sz="4" w:space="0" w:color="E1E1E1"/>
              <w:left w:val="single" w:sz="4" w:space="0" w:color="E1E1E1"/>
              <w:bottom w:val="single" w:sz="4" w:space="0" w:color="E1E1E1"/>
              <w:right w:val="single" w:sz="4" w:space="0" w:color="E1E1E1"/>
            </w:tcBorders>
            <w:vAlign w:val="center"/>
          </w:tcPr>
          <w:p w14:paraId="78790CCC" w14:textId="77777777" w:rsidR="00CA41A3" w:rsidRPr="003D4CF7" w:rsidRDefault="00CA41A3" w:rsidP="00771C2D">
            <w:pPr>
              <w:jc w:val="center"/>
              <w:rPr>
                <w:rFonts w:asciiTheme="minorHAnsi" w:eastAsia="Calibri" w:hAnsiTheme="minorHAnsi" w:cstheme="minorHAnsi"/>
                <w:kern w:val="18"/>
                <w:sz w:val="18"/>
                <w:szCs w:val="18"/>
                <w:lang w:val="fr-CA"/>
              </w:rPr>
            </w:pPr>
            <w:r w:rsidRPr="00941753">
              <w:rPr>
                <w:rFonts w:asciiTheme="minorHAnsi" w:hAnsiTheme="minorHAnsi" w:cstheme="minorHAnsi"/>
                <w:kern w:val="18"/>
                <w:sz w:val="18"/>
                <w:szCs w:val="18"/>
                <w:lang w:val="fr-CA"/>
              </w:rPr>
              <w:t>18 h-20 h</w:t>
            </w:r>
          </w:p>
        </w:tc>
        <w:tc>
          <w:tcPr>
            <w:tcW w:w="1559" w:type="dxa"/>
            <w:tcBorders>
              <w:top w:val="single" w:sz="4" w:space="0" w:color="E1E1E1"/>
              <w:left w:val="single" w:sz="4" w:space="0" w:color="E1E1E1"/>
              <w:bottom w:val="single" w:sz="4" w:space="0" w:color="E1E1E1"/>
              <w:right w:val="single" w:sz="4" w:space="0" w:color="E1E1E1"/>
            </w:tcBorders>
            <w:vAlign w:val="center"/>
          </w:tcPr>
          <w:p w14:paraId="56ECF74D" w14:textId="77777777" w:rsidR="00CA41A3" w:rsidRPr="003D4CF7" w:rsidRDefault="00CA41A3" w:rsidP="00771C2D">
            <w:pPr>
              <w:jc w:val="center"/>
              <w:rPr>
                <w:rFonts w:asciiTheme="minorHAnsi" w:eastAsia="Calibri" w:hAnsiTheme="minorHAnsi" w:cstheme="minorHAnsi"/>
                <w:kern w:val="18"/>
                <w:sz w:val="18"/>
                <w:szCs w:val="18"/>
                <w:lang w:val="fr-CA"/>
              </w:rPr>
            </w:pPr>
            <w:r>
              <w:rPr>
                <w:rFonts w:asciiTheme="minorHAnsi" w:hAnsiTheme="minorHAnsi" w:cstheme="minorHAnsi"/>
                <w:kern w:val="18"/>
                <w:sz w:val="18"/>
                <w:szCs w:val="18"/>
                <w:lang w:val="fr-CA"/>
              </w:rPr>
              <w:t xml:space="preserve">Pop. </w:t>
            </w:r>
            <w:proofErr w:type="spellStart"/>
            <w:r w:rsidRPr="00941753">
              <w:rPr>
                <w:rFonts w:asciiTheme="minorHAnsi" w:hAnsiTheme="minorHAnsi" w:cstheme="minorHAnsi"/>
                <w:kern w:val="18"/>
                <w:sz w:val="18"/>
                <w:szCs w:val="18"/>
                <w:lang w:val="fr-CA"/>
              </w:rPr>
              <w:t>gé</w:t>
            </w:r>
            <w:r>
              <w:rPr>
                <w:rFonts w:asciiTheme="minorHAnsi" w:hAnsiTheme="minorHAnsi" w:cstheme="minorHAnsi"/>
                <w:kern w:val="18"/>
                <w:sz w:val="18"/>
                <w:szCs w:val="18"/>
                <w:lang w:val="fr-CA"/>
              </w:rPr>
              <w:t>n</w:t>
            </w:r>
            <w:proofErr w:type="spellEnd"/>
            <w:r>
              <w:rPr>
                <w:rFonts w:asciiTheme="minorHAnsi" w:hAnsiTheme="minorHAnsi" w:cstheme="minorHAnsi"/>
                <w:kern w:val="18"/>
                <w:sz w:val="18"/>
                <w:szCs w:val="18"/>
                <w:lang w:val="fr-CA"/>
              </w:rPr>
              <w:t>.</w:t>
            </w:r>
          </w:p>
        </w:tc>
        <w:tc>
          <w:tcPr>
            <w:tcW w:w="1358" w:type="dxa"/>
            <w:tcBorders>
              <w:top w:val="single" w:sz="4" w:space="0" w:color="E1E1E1"/>
              <w:left w:val="single" w:sz="4" w:space="0" w:color="E1E1E1"/>
              <w:bottom w:val="single" w:sz="4" w:space="0" w:color="E1E1E1"/>
              <w:right w:val="single" w:sz="4" w:space="0" w:color="E1E1E1"/>
            </w:tcBorders>
            <w:vAlign w:val="center"/>
          </w:tcPr>
          <w:p w14:paraId="5BD8354A" w14:textId="77777777" w:rsidR="00CA41A3" w:rsidRPr="003D4CF7" w:rsidRDefault="00CA41A3" w:rsidP="00771C2D">
            <w:pPr>
              <w:jc w:val="center"/>
              <w:rPr>
                <w:rFonts w:asciiTheme="minorHAnsi" w:eastAsia="Calibri" w:hAnsiTheme="minorHAnsi" w:cstheme="minorHAnsi"/>
                <w:kern w:val="18"/>
                <w:sz w:val="18"/>
                <w:szCs w:val="18"/>
                <w:lang w:val="fr-CA"/>
              </w:rPr>
            </w:pPr>
            <w:r w:rsidRPr="003D4CF7">
              <w:rPr>
                <w:rFonts w:asciiTheme="minorHAnsi" w:eastAsia="Calibri" w:hAnsiTheme="minorHAnsi" w:cstheme="minorHAnsi"/>
                <w:kern w:val="18"/>
                <w:sz w:val="18"/>
                <w:szCs w:val="18"/>
                <w:lang w:val="fr-CA"/>
              </w:rPr>
              <w:t>6</w:t>
            </w:r>
          </w:p>
        </w:tc>
      </w:tr>
      <w:tr w:rsidR="00CA41A3" w:rsidRPr="003D4CF7" w14:paraId="2415563C" w14:textId="77777777" w:rsidTr="00771C2D">
        <w:trPr>
          <w:trHeight w:val="272"/>
        </w:trPr>
        <w:tc>
          <w:tcPr>
            <w:tcW w:w="2694" w:type="dxa"/>
            <w:tcBorders>
              <w:top w:val="single" w:sz="4" w:space="0" w:color="E1E1E1"/>
              <w:left w:val="single" w:sz="4" w:space="0" w:color="E1E1E1"/>
              <w:bottom w:val="single" w:sz="4" w:space="0" w:color="E1E1E1"/>
              <w:right w:val="single" w:sz="4" w:space="0" w:color="E1E1E1"/>
            </w:tcBorders>
            <w:vAlign w:val="center"/>
          </w:tcPr>
          <w:p w14:paraId="48F86563" w14:textId="77777777" w:rsidR="00CA41A3" w:rsidRPr="003D4CF7" w:rsidRDefault="00CA41A3" w:rsidP="00771C2D">
            <w:pPr>
              <w:jc w:val="center"/>
              <w:rPr>
                <w:rFonts w:asciiTheme="minorHAnsi" w:eastAsia="Calibri" w:hAnsiTheme="minorHAnsi" w:cstheme="minorHAnsi"/>
                <w:kern w:val="18"/>
                <w:sz w:val="18"/>
                <w:szCs w:val="18"/>
                <w:lang w:val="fr-CA"/>
              </w:rPr>
            </w:pPr>
            <w:proofErr w:type="spellStart"/>
            <w:r w:rsidRPr="003D4CF7">
              <w:rPr>
                <w:rFonts w:asciiTheme="minorHAnsi" w:eastAsia="Calibri" w:hAnsiTheme="minorHAnsi" w:cstheme="minorHAnsi"/>
                <w:kern w:val="18"/>
                <w:sz w:val="18"/>
                <w:szCs w:val="18"/>
                <w:lang w:val="fr-CA"/>
              </w:rPr>
              <w:t>Quebec</w:t>
            </w:r>
            <w:proofErr w:type="spellEnd"/>
            <w:r w:rsidRPr="003D4CF7">
              <w:rPr>
                <w:rFonts w:asciiTheme="minorHAnsi" w:eastAsia="Calibri" w:hAnsiTheme="minorHAnsi" w:cstheme="minorHAnsi"/>
                <w:kern w:val="18"/>
                <w:sz w:val="18"/>
                <w:szCs w:val="18"/>
                <w:lang w:val="fr-CA"/>
              </w:rPr>
              <w:t xml:space="preserve"> </w:t>
            </w:r>
            <w:r>
              <w:rPr>
                <w:rFonts w:asciiTheme="minorHAnsi" w:eastAsia="Calibri" w:hAnsiTheme="minorHAnsi" w:cstheme="minorHAnsi"/>
                <w:kern w:val="18"/>
                <w:sz w:val="18"/>
                <w:szCs w:val="18"/>
                <w:lang w:val="fr-CA"/>
              </w:rPr>
              <w:t>–</w:t>
            </w:r>
            <w:r w:rsidRPr="003D4CF7">
              <w:rPr>
                <w:rFonts w:asciiTheme="minorHAnsi" w:eastAsia="Calibri" w:hAnsiTheme="minorHAnsi" w:cstheme="minorHAnsi"/>
                <w:kern w:val="18"/>
                <w:sz w:val="18"/>
                <w:szCs w:val="18"/>
                <w:lang w:val="fr-CA"/>
              </w:rPr>
              <w:t xml:space="preserve"> </w:t>
            </w:r>
            <w:r>
              <w:rPr>
                <w:rFonts w:asciiTheme="minorHAnsi" w:eastAsia="Calibri" w:hAnsiTheme="minorHAnsi" w:cstheme="minorHAnsi"/>
                <w:kern w:val="18"/>
                <w:sz w:val="18"/>
                <w:szCs w:val="18"/>
                <w:lang w:val="fr-CA"/>
              </w:rPr>
              <w:t>Villes de taille moyenne</w:t>
            </w:r>
          </w:p>
        </w:tc>
        <w:tc>
          <w:tcPr>
            <w:tcW w:w="993" w:type="dxa"/>
            <w:tcBorders>
              <w:top w:val="single" w:sz="4" w:space="0" w:color="E1E1E1"/>
              <w:left w:val="single" w:sz="4" w:space="0" w:color="E1E1E1"/>
              <w:bottom w:val="single" w:sz="4" w:space="0" w:color="E1E1E1"/>
              <w:right w:val="single" w:sz="4" w:space="0" w:color="E1E1E1"/>
            </w:tcBorders>
            <w:vAlign w:val="center"/>
          </w:tcPr>
          <w:p w14:paraId="7C56527D" w14:textId="77777777" w:rsidR="00CA41A3" w:rsidRPr="003D4CF7" w:rsidRDefault="00CA41A3" w:rsidP="00771C2D">
            <w:pPr>
              <w:jc w:val="center"/>
              <w:rPr>
                <w:rFonts w:asciiTheme="minorHAnsi" w:eastAsia="Calibri" w:hAnsiTheme="minorHAnsi" w:cstheme="minorHAnsi"/>
                <w:kern w:val="18"/>
                <w:sz w:val="18"/>
                <w:szCs w:val="18"/>
                <w:lang w:val="fr-CA"/>
              </w:rPr>
            </w:pPr>
            <w:r w:rsidRPr="003D4CF7">
              <w:rPr>
                <w:rFonts w:asciiTheme="minorHAnsi" w:eastAsia="Calibri" w:hAnsiTheme="minorHAnsi" w:cstheme="minorHAnsi"/>
                <w:kern w:val="18"/>
                <w:sz w:val="18"/>
                <w:szCs w:val="18"/>
                <w:lang w:val="fr-CA"/>
              </w:rPr>
              <w:t>11</w:t>
            </w:r>
          </w:p>
        </w:tc>
        <w:tc>
          <w:tcPr>
            <w:tcW w:w="1134" w:type="dxa"/>
            <w:tcBorders>
              <w:top w:val="single" w:sz="4" w:space="0" w:color="E1E1E1"/>
              <w:left w:val="single" w:sz="4" w:space="0" w:color="E1E1E1"/>
              <w:bottom w:val="single" w:sz="4" w:space="0" w:color="E1E1E1"/>
              <w:right w:val="single" w:sz="4" w:space="0" w:color="E1E1E1"/>
            </w:tcBorders>
            <w:vAlign w:val="center"/>
          </w:tcPr>
          <w:p w14:paraId="16A78936" w14:textId="77777777" w:rsidR="00CA41A3" w:rsidRPr="003D4CF7" w:rsidRDefault="00CA41A3" w:rsidP="00771C2D">
            <w:pPr>
              <w:jc w:val="center"/>
              <w:rPr>
                <w:rFonts w:asciiTheme="minorHAnsi" w:eastAsia="Calibri" w:hAnsiTheme="minorHAnsi" w:cstheme="minorHAnsi"/>
                <w:kern w:val="18"/>
                <w:sz w:val="18"/>
                <w:szCs w:val="18"/>
                <w:lang w:val="fr-CA"/>
              </w:rPr>
            </w:pPr>
            <w:r w:rsidRPr="00941753">
              <w:rPr>
                <w:rFonts w:ascii="Calibri" w:eastAsia="Calibri" w:hAnsi="Calibri" w:cs="Calibri"/>
                <w:kern w:val="18"/>
                <w:sz w:val="18"/>
                <w:szCs w:val="18"/>
                <w:lang w:val="fr-CA"/>
              </w:rPr>
              <w:t>Français</w:t>
            </w:r>
          </w:p>
        </w:tc>
        <w:tc>
          <w:tcPr>
            <w:tcW w:w="992" w:type="dxa"/>
            <w:tcBorders>
              <w:top w:val="single" w:sz="4" w:space="0" w:color="E1E1E1"/>
              <w:left w:val="single" w:sz="4" w:space="0" w:color="E1E1E1"/>
              <w:bottom w:val="single" w:sz="4" w:space="0" w:color="E1E1E1"/>
              <w:right w:val="single" w:sz="4" w:space="0" w:color="E1E1E1"/>
            </w:tcBorders>
            <w:vAlign w:val="center"/>
          </w:tcPr>
          <w:p w14:paraId="3447A393" w14:textId="77777777" w:rsidR="00CA41A3" w:rsidRPr="003D4CF7" w:rsidRDefault="00CA41A3" w:rsidP="00771C2D">
            <w:pPr>
              <w:jc w:val="center"/>
              <w:rPr>
                <w:lang w:val="fr-CA"/>
              </w:rPr>
            </w:pPr>
            <w:r w:rsidRPr="003D4CF7">
              <w:rPr>
                <w:rFonts w:asciiTheme="minorHAnsi" w:eastAsia="Calibri" w:hAnsiTheme="minorHAnsi" w:cstheme="minorHAnsi"/>
                <w:kern w:val="18"/>
                <w:sz w:val="18"/>
                <w:szCs w:val="18"/>
                <w:lang w:val="fr-CA"/>
              </w:rPr>
              <w:t>27</w:t>
            </w:r>
            <w:r>
              <w:rPr>
                <w:rFonts w:asciiTheme="minorHAnsi" w:eastAsia="Calibri" w:hAnsiTheme="minorHAnsi" w:cstheme="minorHAnsi"/>
                <w:kern w:val="18"/>
                <w:sz w:val="18"/>
                <w:szCs w:val="18"/>
                <w:lang w:val="fr-CA"/>
              </w:rPr>
              <w:t xml:space="preserve"> oct.</w:t>
            </w:r>
          </w:p>
        </w:tc>
        <w:tc>
          <w:tcPr>
            <w:tcW w:w="992" w:type="dxa"/>
            <w:tcBorders>
              <w:top w:val="single" w:sz="4" w:space="0" w:color="E1E1E1"/>
              <w:left w:val="single" w:sz="4" w:space="0" w:color="E1E1E1"/>
              <w:bottom w:val="single" w:sz="4" w:space="0" w:color="E1E1E1"/>
              <w:right w:val="single" w:sz="4" w:space="0" w:color="E1E1E1"/>
            </w:tcBorders>
            <w:vAlign w:val="center"/>
          </w:tcPr>
          <w:p w14:paraId="3B5B18C4" w14:textId="77777777" w:rsidR="00CA41A3" w:rsidRPr="003D4CF7" w:rsidRDefault="00CA41A3" w:rsidP="00771C2D">
            <w:pPr>
              <w:jc w:val="center"/>
              <w:rPr>
                <w:rFonts w:asciiTheme="minorHAnsi" w:eastAsia="Calibri" w:hAnsiTheme="minorHAnsi" w:cstheme="minorHAnsi"/>
                <w:kern w:val="18"/>
                <w:sz w:val="18"/>
                <w:szCs w:val="18"/>
                <w:lang w:val="fr-CA"/>
              </w:rPr>
            </w:pPr>
            <w:r w:rsidRPr="00941753">
              <w:rPr>
                <w:rFonts w:asciiTheme="minorHAnsi" w:hAnsiTheme="minorHAnsi" w:cstheme="minorHAnsi"/>
                <w:kern w:val="18"/>
                <w:sz w:val="18"/>
                <w:szCs w:val="18"/>
                <w:lang w:val="fr-CA"/>
              </w:rPr>
              <w:t>18 h-20 h</w:t>
            </w:r>
          </w:p>
        </w:tc>
        <w:tc>
          <w:tcPr>
            <w:tcW w:w="1559" w:type="dxa"/>
            <w:tcBorders>
              <w:top w:val="single" w:sz="4" w:space="0" w:color="E1E1E1"/>
              <w:left w:val="single" w:sz="4" w:space="0" w:color="E1E1E1"/>
              <w:bottom w:val="single" w:sz="4" w:space="0" w:color="E1E1E1"/>
              <w:right w:val="single" w:sz="4" w:space="0" w:color="E1E1E1"/>
            </w:tcBorders>
            <w:vAlign w:val="center"/>
          </w:tcPr>
          <w:p w14:paraId="30D1F34B" w14:textId="77777777" w:rsidR="00CA41A3" w:rsidRPr="003D4CF7" w:rsidRDefault="00CA41A3" w:rsidP="00771C2D">
            <w:pPr>
              <w:jc w:val="center"/>
              <w:rPr>
                <w:rFonts w:asciiTheme="minorHAnsi" w:eastAsia="Calibri" w:hAnsiTheme="minorHAnsi" w:cstheme="minorHAnsi"/>
                <w:kern w:val="18"/>
                <w:sz w:val="18"/>
                <w:szCs w:val="18"/>
                <w:lang w:val="fr-CA"/>
              </w:rPr>
            </w:pPr>
            <w:r>
              <w:rPr>
                <w:rFonts w:asciiTheme="minorHAnsi" w:eastAsia="Calibri" w:hAnsiTheme="minorHAnsi" w:cstheme="minorHAnsi"/>
                <w:kern w:val="18"/>
                <w:sz w:val="18"/>
                <w:szCs w:val="18"/>
                <w:lang w:val="fr-CA"/>
              </w:rPr>
              <w:t>AE et prestations de relance</w:t>
            </w:r>
          </w:p>
        </w:tc>
        <w:tc>
          <w:tcPr>
            <w:tcW w:w="1358" w:type="dxa"/>
            <w:tcBorders>
              <w:top w:val="single" w:sz="4" w:space="0" w:color="E1E1E1"/>
              <w:left w:val="single" w:sz="4" w:space="0" w:color="E1E1E1"/>
              <w:bottom w:val="single" w:sz="4" w:space="0" w:color="E1E1E1"/>
              <w:right w:val="single" w:sz="4" w:space="0" w:color="E1E1E1"/>
            </w:tcBorders>
            <w:vAlign w:val="center"/>
          </w:tcPr>
          <w:p w14:paraId="016F40CB" w14:textId="77777777" w:rsidR="00CA41A3" w:rsidRPr="003D4CF7" w:rsidRDefault="00CA41A3" w:rsidP="00771C2D">
            <w:pPr>
              <w:jc w:val="center"/>
              <w:rPr>
                <w:rFonts w:asciiTheme="minorHAnsi" w:eastAsia="Calibri" w:hAnsiTheme="minorHAnsi" w:cstheme="minorHAnsi"/>
                <w:kern w:val="18"/>
                <w:sz w:val="18"/>
                <w:szCs w:val="18"/>
                <w:lang w:val="fr-CA"/>
              </w:rPr>
            </w:pPr>
            <w:r w:rsidRPr="003D4CF7">
              <w:rPr>
                <w:rFonts w:asciiTheme="minorHAnsi" w:eastAsia="Calibri" w:hAnsiTheme="minorHAnsi" w:cstheme="minorHAnsi"/>
                <w:kern w:val="18"/>
                <w:sz w:val="18"/>
                <w:szCs w:val="18"/>
                <w:lang w:val="fr-CA"/>
              </w:rPr>
              <w:t>4</w:t>
            </w:r>
          </w:p>
        </w:tc>
      </w:tr>
      <w:tr w:rsidR="00CA41A3" w:rsidRPr="003D4CF7" w14:paraId="2F3D60B2" w14:textId="77777777" w:rsidTr="00771C2D">
        <w:trPr>
          <w:trHeight w:val="272"/>
        </w:trPr>
        <w:tc>
          <w:tcPr>
            <w:tcW w:w="2694" w:type="dxa"/>
            <w:tcBorders>
              <w:top w:val="single" w:sz="4" w:space="0" w:color="E1E1E1"/>
              <w:left w:val="single" w:sz="4" w:space="0" w:color="E1E1E1"/>
              <w:bottom w:val="single" w:sz="4" w:space="0" w:color="E1E1E1"/>
              <w:right w:val="single" w:sz="4" w:space="0" w:color="E1E1E1"/>
            </w:tcBorders>
            <w:vAlign w:val="center"/>
          </w:tcPr>
          <w:p w14:paraId="6199EEE6" w14:textId="77777777" w:rsidR="00CA41A3" w:rsidRPr="003D4CF7" w:rsidRDefault="00CA41A3" w:rsidP="00771C2D">
            <w:pPr>
              <w:jc w:val="center"/>
              <w:rPr>
                <w:rFonts w:asciiTheme="minorHAnsi" w:eastAsia="Calibri" w:hAnsiTheme="minorHAnsi" w:cstheme="minorHAnsi"/>
                <w:kern w:val="18"/>
                <w:sz w:val="18"/>
                <w:szCs w:val="18"/>
                <w:lang w:val="fr-CA"/>
              </w:rPr>
            </w:pPr>
            <w:r w:rsidRPr="003D4CF7">
              <w:rPr>
                <w:rFonts w:asciiTheme="minorHAnsi" w:eastAsia="Calibri" w:hAnsiTheme="minorHAnsi" w:cstheme="minorHAnsi"/>
                <w:kern w:val="18"/>
                <w:sz w:val="18"/>
                <w:szCs w:val="18"/>
                <w:lang w:val="fr-CA"/>
              </w:rPr>
              <w:lastRenderedPageBreak/>
              <w:t xml:space="preserve">Ontario – </w:t>
            </w:r>
            <w:r>
              <w:rPr>
                <w:rFonts w:asciiTheme="minorHAnsi" w:eastAsia="Calibri" w:hAnsiTheme="minorHAnsi" w:cstheme="minorHAnsi"/>
                <w:kern w:val="18"/>
                <w:sz w:val="18"/>
                <w:szCs w:val="18"/>
                <w:lang w:val="fr-CA"/>
              </w:rPr>
              <w:t xml:space="preserve">Villes de taille moyenne du sud et de l’est de l’Ontario </w:t>
            </w:r>
          </w:p>
        </w:tc>
        <w:tc>
          <w:tcPr>
            <w:tcW w:w="993" w:type="dxa"/>
            <w:tcBorders>
              <w:top w:val="single" w:sz="4" w:space="0" w:color="E1E1E1"/>
              <w:left w:val="single" w:sz="4" w:space="0" w:color="E1E1E1"/>
              <w:bottom w:val="single" w:sz="4" w:space="0" w:color="E1E1E1"/>
              <w:right w:val="single" w:sz="4" w:space="0" w:color="E1E1E1"/>
            </w:tcBorders>
            <w:vAlign w:val="center"/>
          </w:tcPr>
          <w:p w14:paraId="696ECE3F" w14:textId="77777777" w:rsidR="00CA41A3" w:rsidRPr="003D4CF7" w:rsidRDefault="00CA41A3" w:rsidP="00771C2D">
            <w:pPr>
              <w:jc w:val="center"/>
              <w:rPr>
                <w:rFonts w:asciiTheme="minorHAnsi" w:eastAsia="Calibri" w:hAnsiTheme="minorHAnsi" w:cstheme="minorHAnsi"/>
                <w:kern w:val="18"/>
                <w:sz w:val="18"/>
                <w:szCs w:val="18"/>
                <w:lang w:val="fr-CA"/>
              </w:rPr>
            </w:pPr>
            <w:r w:rsidRPr="003D4CF7">
              <w:rPr>
                <w:rFonts w:asciiTheme="minorHAnsi" w:eastAsia="Calibri" w:hAnsiTheme="minorHAnsi" w:cstheme="minorHAnsi"/>
                <w:kern w:val="18"/>
                <w:sz w:val="18"/>
                <w:szCs w:val="18"/>
                <w:lang w:val="fr-CA"/>
              </w:rPr>
              <w:t>12</w:t>
            </w:r>
          </w:p>
        </w:tc>
        <w:tc>
          <w:tcPr>
            <w:tcW w:w="1134" w:type="dxa"/>
            <w:tcBorders>
              <w:top w:val="single" w:sz="4" w:space="0" w:color="E1E1E1"/>
              <w:left w:val="single" w:sz="4" w:space="0" w:color="E1E1E1"/>
              <w:bottom w:val="single" w:sz="4" w:space="0" w:color="E1E1E1"/>
              <w:right w:val="single" w:sz="4" w:space="0" w:color="E1E1E1"/>
            </w:tcBorders>
            <w:vAlign w:val="center"/>
          </w:tcPr>
          <w:p w14:paraId="5AEB4391" w14:textId="77777777" w:rsidR="00CA41A3" w:rsidRPr="003D4CF7" w:rsidRDefault="00CA41A3" w:rsidP="00771C2D">
            <w:pPr>
              <w:jc w:val="center"/>
              <w:rPr>
                <w:rFonts w:asciiTheme="minorHAnsi" w:eastAsia="Calibri" w:hAnsiTheme="minorHAnsi" w:cstheme="minorHAnsi"/>
                <w:kern w:val="18"/>
                <w:sz w:val="18"/>
                <w:szCs w:val="18"/>
                <w:lang w:val="fr-CA"/>
              </w:rPr>
            </w:pPr>
            <w:r w:rsidRPr="00941753">
              <w:rPr>
                <w:rFonts w:ascii="Calibri" w:eastAsia="Calibri" w:hAnsi="Calibri" w:cs="Calibri"/>
                <w:kern w:val="18"/>
                <w:sz w:val="18"/>
                <w:szCs w:val="18"/>
                <w:lang w:val="fr-CA"/>
              </w:rPr>
              <w:t>Anglais</w:t>
            </w:r>
          </w:p>
        </w:tc>
        <w:tc>
          <w:tcPr>
            <w:tcW w:w="992" w:type="dxa"/>
            <w:tcBorders>
              <w:top w:val="single" w:sz="4" w:space="0" w:color="E1E1E1"/>
              <w:left w:val="single" w:sz="4" w:space="0" w:color="E1E1E1"/>
              <w:bottom w:val="single" w:sz="4" w:space="0" w:color="E1E1E1"/>
              <w:right w:val="single" w:sz="4" w:space="0" w:color="E1E1E1"/>
            </w:tcBorders>
            <w:vAlign w:val="center"/>
          </w:tcPr>
          <w:p w14:paraId="0E8BF51C" w14:textId="77777777" w:rsidR="00CA41A3" w:rsidRPr="003D4CF7" w:rsidRDefault="00CA41A3" w:rsidP="00771C2D">
            <w:pPr>
              <w:jc w:val="center"/>
              <w:rPr>
                <w:lang w:val="fr-CA"/>
              </w:rPr>
            </w:pPr>
            <w:r w:rsidRPr="003D4CF7">
              <w:rPr>
                <w:rFonts w:asciiTheme="minorHAnsi" w:eastAsia="Calibri" w:hAnsiTheme="minorHAnsi" w:cstheme="minorHAnsi"/>
                <w:kern w:val="18"/>
                <w:sz w:val="18"/>
                <w:szCs w:val="18"/>
                <w:lang w:val="fr-CA"/>
              </w:rPr>
              <w:t>29</w:t>
            </w:r>
            <w:r>
              <w:rPr>
                <w:rFonts w:asciiTheme="minorHAnsi" w:eastAsia="Calibri" w:hAnsiTheme="minorHAnsi" w:cstheme="minorHAnsi"/>
                <w:kern w:val="18"/>
                <w:sz w:val="18"/>
                <w:szCs w:val="18"/>
                <w:lang w:val="fr-CA"/>
              </w:rPr>
              <w:t xml:space="preserve"> oct.</w:t>
            </w:r>
          </w:p>
        </w:tc>
        <w:tc>
          <w:tcPr>
            <w:tcW w:w="992" w:type="dxa"/>
            <w:tcBorders>
              <w:top w:val="single" w:sz="4" w:space="0" w:color="E1E1E1"/>
              <w:left w:val="single" w:sz="4" w:space="0" w:color="E1E1E1"/>
              <w:bottom w:val="single" w:sz="4" w:space="0" w:color="E1E1E1"/>
              <w:right w:val="single" w:sz="4" w:space="0" w:color="E1E1E1"/>
            </w:tcBorders>
            <w:vAlign w:val="center"/>
          </w:tcPr>
          <w:p w14:paraId="2A46E813" w14:textId="77777777" w:rsidR="00CA41A3" w:rsidRPr="003D4CF7" w:rsidRDefault="00CA41A3" w:rsidP="00771C2D">
            <w:pPr>
              <w:jc w:val="center"/>
              <w:rPr>
                <w:rFonts w:asciiTheme="minorHAnsi" w:eastAsia="Calibri" w:hAnsiTheme="minorHAnsi" w:cstheme="minorHAnsi"/>
                <w:kern w:val="18"/>
                <w:sz w:val="18"/>
                <w:szCs w:val="18"/>
                <w:lang w:val="fr-CA"/>
              </w:rPr>
            </w:pPr>
            <w:r w:rsidRPr="00941753">
              <w:rPr>
                <w:rFonts w:asciiTheme="minorHAnsi" w:hAnsiTheme="minorHAnsi" w:cstheme="minorHAnsi"/>
                <w:kern w:val="18"/>
                <w:sz w:val="18"/>
                <w:szCs w:val="18"/>
                <w:lang w:val="fr-CA"/>
              </w:rPr>
              <w:t>18 h-20 h</w:t>
            </w:r>
          </w:p>
        </w:tc>
        <w:tc>
          <w:tcPr>
            <w:tcW w:w="1559" w:type="dxa"/>
            <w:tcBorders>
              <w:top w:val="single" w:sz="4" w:space="0" w:color="E1E1E1"/>
              <w:left w:val="single" w:sz="4" w:space="0" w:color="E1E1E1"/>
              <w:bottom w:val="single" w:sz="4" w:space="0" w:color="E1E1E1"/>
              <w:right w:val="single" w:sz="4" w:space="0" w:color="E1E1E1"/>
            </w:tcBorders>
            <w:vAlign w:val="center"/>
          </w:tcPr>
          <w:p w14:paraId="7D41DD84" w14:textId="77777777" w:rsidR="00CA41A3" w:rsidRPr="003D4CF7" w:rsidRDefault="00CA41A3" w:rsidP="00771C2D">
            <w:pPr>
              <w:jc w:val="center"/>
              <w:rPr>
                <w:rFonts w:asciiTheme="minorHAnsi" w:eastAsia="Calibri" w:hAnsiTheme="minorHAnsi" w:cstheme="minorHAnsi"/>
                <w:kern w:val="18"/>
                <w:sz w:val="18"/>
                <w:szCs w:val="18"/>
                <w:lang w:val="fr-CA"/>
              </w:rPr>
            </w:pPr>
            <w:r>
              <w:rPr>
                <w:rFonts w:asciiTheme="minorHAnsi" w:hAnsiTheme="minorHAnsi" w:cstheme="minorHAnsi"/>
                <w:kern w:val="18"/>
                <w:sz w:val="18"/>
                <w:szCs w:val="18"/>
                <w:lang w:val="fr-CA"/>
              </w:rPr>
              <w:t xml:space="preserve">Pop. </w:t>
            </w:r>
            <w:proofErr w:type="spellStart"/>
            <w:r w:rsidRPr="00941753">
              <w:rPr>
                <w:rFonts w:asciiTheme="minorHAnsi" w:hAnsiTheme="minorHAnsi" w:cstheme="minorHAnsi"/>
                <w:kern w:val="18"/>
                <w:sz w:val="18"/>
                <w:szCs w:val="18"/>
                <w:lang w:val="fr-CA"/>
              </w:rPr>
              <w:t>gé</w:t>
            </w:r>
            <w:r>
              <w:rPr>
                <w:rFonts w:asciiTheme="minorHAnsi" w:hAnsiTheme="minorHAnsi" w:cstheme="minorHAnsi"/>
                <w:kern w:val="18"/>
                <w:sz w:val="18"/>
                <w:szCs w:val="18"/>
                <w:lang w:val="fr-CA"/>
              </w:rPr>
              <w:t>n</w:t>
            </w:r>
            <w:proofErr w:type="spellEnd"/>
            <w:r>
              <w:rPr>
                <w:rFonts w:asciiTheme="minorHAnsi" w:hAnsiTheme="minorHAnsi" w:cstheme="minorHAnsi"/>
                <w:kern w:val="18"/>
                <w:sz w:val="18"/>
                <w:szCs w:val="18"/>
                <w:lang w:val="fr-CA"/>
              </w:rPr>
              <w:t>.</w:t>
            </w:r>
          </w:p>
        </w:tc>
        <w:tc>
          <w:tcPr>
            <w:tcW w:w="1358" w:type="dxa"/>
            <w:tcBorders>
              <w:top w:val="single" w:sz="4" w:space="0" w:color="E1E1E1"/>
              <w:left w:val="single" w:sz="4" w:space="0" w:color="E1E1E1"/>
              <w:bottom w:val="single" w:sz="4" w:space="0" w:color="E1E1E1"/>
              <w:right w:val="single" w:sz="4" w:space="0" w:color="E1E1E1"/>
            </w:tcBorders>
            <w:vAlign w:val="center"/>
          </w:tcPr>
          <w:p w14:paraId="62DC0F21" w14:textId="77777777" w:rsidR="00CA41A3" w:rsidRPr="003D4CF7" w:rsidRDefault="00CA41A3" w:rsidP="00771C2D">
            <w:pPr>
              <w:jc w:val="center"/>
              <w:rPr>
                <w:rFonts w:asciiTheme="minorHAnsi" w:eastAsia="Calibri" w:hAnsiTheme="minorHAnsi" w:cstheme="minorHAnsi"/>
                <w:kern w:val="18"/>
                <w:sz w:val="18"/>
                <w:szCs w:val="18"/>
                <w:lang w:val="fr-CA"/>
              </w:rPr>
            </w:pPr>
            <w:r w:rsidRPr="003D4CF7">
              <w:rPr>
                <w:rFonts w:asciiTheme="minorHAnsi" w:eastAsia="Calibri" w:hAnsiTheme="minorHAnsi" w:cstheme="minorHAnsi"/>
                <w:kern w:val="18"/>
                <w:sz w:val="18"/>
                <w:szCs w:val="18"/>
                <w:lang w:val="fr-CA"/>
              </w:rPr>
              <w:t>8</w:t>
            </w:r>
          </w:p>
        </w:tc>
      </w:tr>
      <w:tr w:rsidR="00CA41A3" w:rsidRPr="003D4CF7" w14:paraId="26EEB165" w14:textId="77777777" w:rsidTr="00771C2D">
        <w:trPr>
          <w:trHeight w:val="394"/>
        </w:trPr>
        <w:tc>
          <w:tcPr>
            <w:tcW w:w="8364" w:type="dxa"/>
            <w:gridSpan w:val="6"/>
            <w:tcBorders>
              <w:top w:val="single" w:sz="4" w:space="0" w:color="E1E1E1"/>
              <w:left w:val="single" w:sz="4" w:space="0" w:color="E1E1E1"/>
              <w:bottom w:val="single" w:sz="4" w:space="0" w:color="E1E1E1"/>
              <w:right w:val="single" w:sz="4" w:space="0" w:color="E1E1E1"/>
            </w:tcBorders>
            <w:shd w:val="clear" w:color="auto" w:fill="D6EDF5"/>
            <w:vAlign w:val="center"/>
          </w:tcPr>
          <w:p w14:paraId="60B3623B" w14:textId="77777777" w:rsidR="00CA41A3" w:rsidRPr="003D4CF7" w:rsidRDefault="00CA41A3" w:rsidP="00771C2D">
            <w:pPr>
              <w:jc w:val="right"/>
              <w:rPr>
                <w:rFonts w:ascii="Calibri" w:eastAsia="Calibri" w:hAnsi="Calibri" w:cs="Calibri"/>
                <w:b/>
                <w:kern w:val="18"/>
                <w:szCs w:val="18"/>
                <w:lang w:val="fr-CA"/>
              </w:rPr>
            </w:pPr>
            <w:r>
              <w:rPr>
                <w:rFonts w:ascii="Calibri" w:eastAsia="Calibri" w:hAnsi="Calibri" w:cs="Calibri"/>
                <w:b/>
                <w:kern w:val="18"/>
                <w:szCs w:val="18"/>
                <w:lang w:val="fr-CA"/>
              </w:rPr>
              <w:t>Nombre total de</w:t>
            </w:r>
            <w:r w:rsidRPr="003D4CF7">
              <w:rPr>
                <w:rFonts w:ascii="Calibri" w:eastAsia="Calibri" w:hAnsi="Calibri" w:cs="Calibri"/>
                <w:b/>
                <w:kern w:val="18"/>
                <w:szCs w:val="18"/>
                <w:lang w:val="fr-CA"/>
              </w:rPr>
              <w:t xml:space="preserve"> participants</w:t>
            </w:r>
          </w:p>
        </w:tc>
        <w:tc>
          <w:tcPr>
            <w:tcW w:w="1358" w:type="dxa"/>
            <w:tcBorders>
              <w:top w:val="single" w:sz="4" w:space="0" w:color="E1E1E1"/>
              <w:left w:val="single" w:sz="4" w:space="0" w:color="E1E1E1"/>
              <w:bottom w:val="single" w:sz="4" w:space="0" w:color="E1E1E1"/>
              <w:right w:val="single" w:sz="4" w:space="0" w:color="E1E1E1"/>
            </w:tcBorders>
            <w:shd w:val="clear" w:color="auto" w:fill="D6EDF5"/>
            <w:vAlign w:val="center"/>
          </w:tcPr>
          <w:p w14:paraId="5CCC5BE8" w14:textId="77777777" w:rsidR="00CA41A3" w:rsidRPr="003D4CF7" w:rsidRDefault="00CA41A3" w:rsidP="00771C2D">
            <w:pPr>
              <w:jc w:val="center"/>
              <w:rPr>
                <w:rFonts w:ascii="Calibri" w:eastAsia="Calibri" w:hAnsi="Calibri" w:cs="Calibri"/>
                <w:b/>
                <w:kern w:val="18"/>
                <w:lang w:val="fr-CA"/>
              </w:rPr>
            </w:pPr>
            <w:r w:rsidRPr="003D4CF7">
              <w:rPr>
                <w:rFonts w:ascii="Calibri" w:eastAsia="Calibri" w:hAnsi="Calibri" w:cs="Calibri"/>
                <w:b/>
                <w:kern w:val="18"/>
                <w:szCs w:val="18"/>
                <w:lang w:val="fr-CA"/>
              </w:rPr>
              <w:t>80</w:t>
            </w:r>
          </w:p>
        </w:tc>
      </w:tr>
    </w:tbl>
    <w:p w14:paraId="38250365" w14:textId="77777777" w:rsidR="00974C73" w:rsidRPr="0096449E" w:rsidRDefault="00974C73" w:rsidP="00974C73">
      <w:pPr>
        <w:rPr>
          <w:lang w:val="fr-CA"/>
        </w:rPr>
      </w:pPr>
    </w:p>
    <w:p w14:paraId="7EFFFA20" w14:textId="77777777" w:rsidR="00974C73" w:rsidRPr="0096449E" w:rsidRDefault="00974C73" w:rsidP="00974C73">
      <w:pPr>
        <w:pStyle w:val="Heading1"/>
        <w:rPr>
          <w:lang w:val="fr-CA"/>
        </w:rPr>
      </w:pPr>
      <w:r w:rsidRPr="0096449E">
        <w:rPr>
          <w:lang w:val="fr-CA"/>
        </w:rPr>
        <w:t>Principales constatations</w:t>
      </w:r>
    </w:p>
    <w:p w14:paraId="3D2BA5EC" w14:textId="77777777" w:rsidR="00974C73" w:rsidRPr="007263C1" w:rsidRDefault="00974C73" w:rsidP="00974C73">
      <w:pPr>
        <w:rPr>
          <w:sz w:val="28"/>
          <w:szCs w:val="24"/>
          <w:lang w:val="fr-CA"/>
        </w:rPr>
      </w:pPr>
      <w:bookmarkStart w:id="9" w:name="lt_pId169"/>
      <w:r w:rsidRPr="007263C1">
        <w:rPr>
          <w:sz w:val="28"/>
          <w:szCs w:val="24"/>
          <w:lang w:val="fr-CA"/>
        </w:rPr>
        <w:t>Partie I : Conclusions relatives à la COVID-19</w:t>
      </w:r>
      <w:bookmarkEnd w:id="9"/>
      <w:r w:rsidRPr="007263C1">
        <w:rPr>
          <w:sz w:val="28"/>
          <w:szCs w:val="24"/>
          <w:lang w:val="fr-CA"/>
        </w:rPr>
        <w:t xml:space="preserve"> </w:t>
      </w:r>
    </w:p>
    <w:p w14:paraId="5EED88C2" w14:textId="77777777" w:rsidR="00CA41A3" w:rsidRPr="001F52BA" w:rsidRDefault="00CA41A3" w:rsidP="00CA41A3">
      <w:pPr>
        <w:pStyle w:val="Heading2"/>
        <w:rPr>
          <w:lang w:val="fr-CA"/>
        </w:rPr>
      </w:pPr>
      <w:bookmarkStart w:id="10" w:name="_Toc49324370"/>
      <w:bookmarkStart w:id="11" w:name="_Toc56617067"/>
      <w:bookmarkStart w:id="12" w:name="_Toc42591965"/>
      <w:bookmarkStart w:id="13" w:name="_Toc49324374"/>
      <w:r w:rsidRPr="001F52BA">
        <w:rPr>
          <w:lang w:val="fr-CA"/>
        </w:rPr>
        <w:t>Le gouvernement du Canada dans l’actualité (tous les lieux)</w:t>
      </w:r>
      <w:bookmarkEnd w:id="10"/>
      <w:bookmarkEnd w:id="11"/>
      <w:r w:rsidRPr="001F52BA">
        <w:rPr>
          <w:lang w:val="fr-CA"/>
        </w:rPr>
        <w:t xml:space="preserve"> </w:t>
      </w:r>
    </w:p>
    <w:p w14:paraId="59A45E21" w14:textId="77777777" w:rsidR="00CA41A3" w:rsidRPr="001F52BA" w:rsidRDefault="00CA41A3" w:rsidP="00CA41A3">
      <w:pPr>
        <w:pStyle w:val="Heading3"/>
        <w:rPr>
          <w:lang w:val="fr-CA"/>
        </w:rPr>
      </w:pPr>
      <w:r w:rsidRPr="001F52BA">
        <w:rPr>
          <w:lang w:val="fr-CA"/>
        </w:rPr>
        <w:t xml:space="preserve">La COVID-19 dans l’actualité </w:t>
      </w:r>
    </w:p>
    <w:p w14:paraId="11BC0829" w14:textId="77777777" w:rsidR="00CA41A3" w:rsidRPr="001F52BA" w:rsidRDefault="00CA41A3" w:rsidP="00CA41A3">
      <w:pPr>
        <w:rPr>
          <w:lang w:val="fr-CA"/>
        </w:rPr>
      </w:pPr>
      <w:r>
        <w:rPr>
          <w:lang w:val="fr-CA"/>
        </w:rPr>
        <w:t>Pendant tout le mois d’octobre, lorsque nous avons demandé aux</w:t>
      </w:r>
      <w:r w:rsidRPr="001F52BA">
        <w:rPr>
          <w:lang w:val="fr-CA"/>
        </w:rPr>
        <w:t xml:space="preserve"> participants </w:t>
      </w:r>
      <w:r>
        <w:rPr>
          <w:lang w:val="fr-CA"/>
        </w:rPr>
        <w:t xml:space="preserve">ce qu’ils avaient vu, lu ou entendu au sujet du gouvernement du Canada </w:t>
      </w:r>
      <w:r w:rsidRPr="00420277">
        <w:rPr>
          <w:lang w:val="fr-CA"/>
        </w:rPr>
        <w:t>dernièrement, ils ont cité</w:t>
      </w:r>
      <w:r>
        <w:rPr>
          <w:lang w:val="fr-CA"/>
        </w:rPr>
        <w:t xml:space="preserve"> avant tout</w:t>
      </w:r>
      <w:r w:rsidRPr="00420277">
        <w:rPr>
          <w:lang w:val="fr-CA"/>
        </w:rPr>
        <w:t xml:space="preserve"> des sujets liés à la COVID-19, en particulier la prolongation des soutiens financiers.</w:t>
      </w:r>
      <w:r>
        <w:rPr>
          <w:lang w:val="fr-CA"/>
        </w:rPr>
        <w:t xml:space="preserve"> Ils étaient au courant de la fin de la Prestation canadienne d’urgence</w:t>
      </w:r>
      <w:r w:rsidRPr="001F52BA">
        <w:rPr>
          <w:lang w:val="fr-CA"/>
        </w:rPr>
        <w:t xml:space="preserve"> (</w:t>
      </w:r>
      <w:r>
        <w:rPr>
          <w:lang w:val="fr-CA"/>
        </w:rPr>
        <w:t>PCU</w:t>
      </w:r>
      <w:r w:rsidRPr="001F52BA">
        <w:rPr>
          <w:lang w:val="fr-CA"/>
        </w:rPr>
        <w:t xml:space="preserve">) </w:t>
      </w:r>
      <w:r>
        <w:rPr>
          <w:lang w:val="fr-CA"/>
        </w:rPr>
        <w:t>et de la transition des bénéficiaires vers l’assurance-emploi et les trois prestations de relance récemment mises sur pied</w:t>
      </w:r>
      <w:r w:rsidRPr="001F52BA">
        <w:rPr>
          <w:lang w:val="fr-CA"/>
        </w:rPr>
        <w:t>.</w:t>
      </w:r>
      <w:r>
        <w:rPr>
          <w:lang w:val="fr-CA"/>
        </w:rPr>
        <w:t xml:space="preserve"> Outre la question de la PCU, les participants ont mis l’accent sur la hausse des cas de</w:t>
      </w:r>
      <w:r w:rsidRPr="001F52BA">
        <w:rPr>
          <w:lang w:val="fr-CA"/>
        </w:rPr>
        <w:t xml:space="preserve"> COVID-19 </w:t>
      </w:r>
      <w:r>
        <w:rPr>
          <w:lang w:val="fr-CA"/>
        </w:rPr>
        <w:t>au</w:t>
      </w:r>
      <w:r w:rsidRPr="001F52BA">
        <w:rPr>
          <w:lang w:val="fr-CA"/>
        </w:rPr>
        <w:t xml:space="preserve"> Canada.</w:t>
      </w:r>
      <w:r>
        <w:rPr>
          <w:lang w:val="fr-CA"/>
        </w:rPr>
        <w:t xml:space="preserve"> Lorsque nous leur avons demandé s’ils avaient entendu</w:t>
      </w:r>
      <w:r w:rsidRPr="001F52BA">
        <w:rPr>
          <w:lang w:val="fr-CA"/>
        </w:rPr>
        <w:t xml:space="preserve"> </w:t>
      </w:r>
      <w:r>
        <w:rPr>
          <w:lang w:val="fr-CA"/>
        </w:rPr>
        <w:t>parler de nouvelles mesures</w:t>
      </w:r>
      <w:r w:rsidRPr="00D259A8">
        <w:rPr>
          <w:lang w:val="fr-CA"/>
        </w:rPr>
        <w:t xml:space="preserve"> </w:t>
      </w:r>
      <w:r>
        <w:rPr>
          <w:lang w:val="fr-CA"/>
        </w:rPr>
        <w:t xml:space="preserve">prises par le gouvernement du Canada dans le contexte de la pandémie </w:t>
      </w:r>
      <w:r w:rsidRPr="001F52BA">
        <w:rPr>
          <w:lang w:val="fr-CA"/>
        </w:rPr>
        <w:t>(</w:t>
      </w:r>
      <w:r>
        <w:rPr>
          <w:lang w:val="fr-CA"/>
        </w:rPr>
        <w:t>hormis les soutiens financiers déjà cités)</w:t>
      </w:r>
      <w:r w:rsidRPr="001F52BA">
        <w:rPr>
          <w:lang w:val="fr-CA"/>
        </w:rPr>
        <w:t xml:space="preserve">, </w:t>
      </w:r>
      <w:r>
        <w:rPr>
          <w:lang w:val="fr-CA"/>
        </w:rPr>
        <w:t xml:space="preserve">les </w:t>
      </w:r>
      <w:r w:rsidRPr="001F52BA">
        <w:rPr>
          <w:lang w:val="fr-CA"/>
        </w:rPr>
        <w:t xml:space="preserve">participants </w:t>
      </w:r>
      <w:r>
        <w:rPr>
          <w:lang w:val="fr-CA"/>
        </w:rPr>
        <w:t>ont mentionné la</w:t>
      </w:r>
      <w:r w:rsidRPr="001F52BA">
        <w:rPr>
          <w:lang w:val="fr-CA"/>
        </w:rPr>
        <w:t xml:space="preserve"> </w:t>
      </w:r>
      <w:r>
        <w:rPr>
          <w:lang w:val="fr-CA"/>
        </w:rPr>
        <w:t>fermeture de la frontière canado-américaine</w:t>
      </w:r>
      <w:r w:rsidRPr="001F52BA">
        <w:rPr>
          <w:lang w:val="fr-CA"/>
        </w:rPr>
        <w:t xml:space="preserve">, </w:t>
      </w:r>
      <w:r>
        <w:rPr>
          <w:lang w:val="fr-CA"/>
        </w:rPr>
        <w:t>le</w:t>
      </w:r>
      <w:r w:rsidRPr="00D259A8">
        <w:rPr>
          <w:lang w:val="fr-CA"/>
        </w:rPr>
        <w:t xml:space="preserve"> </w:t>
      </w:r>
      <w:r>
        <w:rPr>
          <w:lang w:val="fr-CA"/>
        </w:rPr>
        <w:t>financement d’essais cliniques pour les vaccins contre la</w:t>
      </w:r>
      <w:r w:rsidRPr="001F52BA">
        <w:rPr>
          <w:lang w:val="fr-CA"/>
        </w:rPr>
        <w:t xml:space="preserve"> COVID-19 </w:t>
      </w:r>
      <w:r>
        <w:rPr>
          <w:lang w:val="fr-CA"/>
        </w:rPr>
        <w:t>et l’application Alerte</w:t>
      </w:r>
      <w:r w:rsidRPr="001F52BA">
        <w:rPr>
          <w:lang w:val="fr-CA"/>
        </w:rPr>
        <w:t xml:space="preserve"> COVID. </w:t>
      </w:r>
    </w:p>
    <w:p w14:paraId="7591BD25" w14:textId="77777777" w:rsidR="00CA41A3" w:rsidRPr="001F52BA" w:rsidRDefault="00CA41A3" w:rsidP="00CA41A3">
      <w:pPr>
        <w:rPr>
          <w:lang w:val="fr-CA"/>
        </w:rPr>
      </w:pPr>
      <w:r>
        <w:rPr>
          <w:lang w:val="fr-CA"/>
        </w:rPr>
        <w:t>Les p</w:t>
      </w:r>
      <w:r w:rsidRPr="001F52BA">
        <w:rPr>
          <w:lang w:val="fr-CA"/>
        </w:rPr>
        <w:t xml:space="preserve">articipants </w:t>
      </w:r>
      <w:r>
        <w:rPr>
          <w:lang w:val="fr-CA"/>
        </w:rPr>
        <w:t xml:space="preserve">de grandes villes et de villes de taille moyenne de l’Ontario ont été questionnés sur les </w:t>
      </w:r>
      <w:r w:rsidRPr="009F55B7">
        <w:rPr>
          <w:lang w:val="fr-CA"/>
        </w:rPr>
        <w:t>capacités et les procédures de dépistage de la COVID-19 dans leur collectivité</w:t>
      </w:r>
      <w:r w:rsidRPr="001F52BA">
        <w:rPr>
          <w:lang w:val="fr-CA"/>
        </w:rPr>
        <w:t>.</w:t>
      </w:r>
      <w:r>
        <w:rPr>
          <w:lang w:val="fr-CA"/>
        </w:rPr>
        <w:t xml:space="preserve"> Bon nombre</w:t>
      </w:r>
      <w:r w:rsidRPr="001F52BA">
        <w:rPr>
          <w:lang w:val="fr-CA"/>
        </w:rPr>
        <w:t xml:space="preserve"> </w:t>
      </w:r>
      <w:r>
        <w:rPr>
          <w:lang w:val="fr-CA"/>
        </w:rPr>
        <w:t>avaient eu vent des nouvelles directives de dépistage, des longs délais d’attente et du potentiel</w:t>
      </w:r>
      <w:r w:rsidRPr="001F52BA">
        <w:rPr>
          <w:lang w:val="fr-CA"/>
        </w:rPr>
        <w:t xml:space="preserve"> </w:t>
      </w:r>
      <w:r>
        <w:rPr>
          <w:lang w:val="fr-CA"/>
        </w:rPr>
        <w:t>offert par les tests rapides</w:t>
      </w:r>
      <w:r w:rsidRPr="001F52BA">
        <w:rPr>
          <w:lang w:val="fr-CA"/>
        </w:rPr>
        <w:t>.</w:t>
      </w:r>
      <w:r>
        <w:rPr>
          <w:lang w:val="fr-CA"/>
        </w:rPr>
        <w:t xml:space="preserve"> Au cours de la</w:t>
      </w:r>
      <w:r w:rsidRPr="001F52BA">
        <w:rPr>
          <w:lang w:val="fr-CA"/>
        </w:rPr>
        <w:t xml:space="preserve"> discussion, </w:t>
      </w:r>
      <w:r>
        <w:rPr>
          <w:lang w:val="fr-CA"/>
        </w:rPr>
        <w:t>ils</w:t>
      </w:r>
      <w:r w:rsidRPr="001F52BA">
        <w:rPr>
          <w:lang w:val="fr-CA"/>
        </w:rPr>
        <w:t xml:space="preserve"> </w:t>
      </w:r>
      <w:r>
        <w:rPr>
          <w:lang w:val="fr-CA"/>
        </w:rPr>
        <w:t>ont souligné la nécessité d’accroître le nombre</w:t>
      </w:r>
      <w:r w:rsidRPr="001F52BA">
        <w:rPr>
          <w:lang w:val="fr-CA"/>
        </w:rPr>
        <w:t xml:space="preserve"> </w:t>
      </w:r>
      <w:r>
        <w:rPr>
          <w:lang w:val="fr-CA"/>
        </w:rPr>
        <w:t>de points de services</w:t>
      </w:r>
      <w:r w:rsidRPr="001F52BA">
        <w:rPr>
          <w:lang w:val="fr-CA"/>
        </w:rPr>
        <w:t xml:space="preserve">, </w:t>
      </w:r>
      <w:r>
        <w:rPr>
          <w:lang w:val="fr-CA"/>
        </w:rPr>
        <w:t>de recruter plus de personnel pour les analyses en laboratoire et de trouver des solutions, comme les tests rapides, qui accélèrent le processus de dépistage</w:t>
      </w:r>
      <w:r w:rsidRPr="001F52BA">
        <w:rPr>
          <w:lang w:val="fr-CA"/>
        </w:rPr>
        <w:t xml:space="preserve">. </w:t>
      </w:r>
    </w:p>
    <w:p w14:paraId="731233BE" w14:textId="77777777" w:rsidR="00CA41A3" w:rsidRPr="001F52BA" w:rsidRDefault="00CA41A3" w:rsidP="00CA41A3">
      <w:pPr>
        <w:rPr>
          <w:lang w:val="fr-CA"/>
        </w:rPr>
      </w:pPr>
      <w:r>
        <w:rPr>
          <w:lang w:val="fr-CA"/>
        </w:rPr>
        <w:t>Dans le groupe tenu à</w:t>
      </w:r>
      <w:r w:rsidRPr="001F52BA">
        <w:rPr>
          <w:lang w:val="fr-CA"/>
        </w:rPr>
        <w:t xml:space="preserve"> Yellowknife, </w:t>
      </w:r>
      <w:r>
        <w:rPr>
          <w:lang w:val="fr-CA"/>
        </w:rPr>
        <w:t>le</w:t>
      </w:r>
      <w:r w:rsidRPr="001F52BA">
        <w:rPr>
          <w:lang w:val="fr-CA"/>
        </w:rPr>
        <w:t xml:space="preserve"> </w:t>
      </w:r>
      <w:r>
        <w:rPr>
          <w:lang w:val="fr-CA"/>
        </w:rPr>
        <w:t>Fonds de soutien aux entreprises du Nord (FSEN) n’était guère connu des participants</w:t>
      </w:r>
      <w:r w:rsidRPr="001F52BA">
        <w:rPr>
          <w:lang w:val="fr-CA"/>
        </w:rPr>
        <w:t>.</w:t>
      </w:r>
      <w:r>
        <w:rPr>
          <w:lang w:val="fr-CA"/>
        </w:rPr>
        <w:t xml:space="preserve"> Après avoir reçu un complément d’information sur le fonds</w:t>
      </w:r>
      <w:r w:rsidRPr="001F52BA">
        <w:rPr>
          <w:lang w:val="fr-CA"/>
        </w:rPr>
        <w:t xml:space="preserve">, </w:t>
      </w:r>
      <w:r>
        <w:rPr>
          <w:lang w:val="fr-CA"/>
        </w:rPr>
        <w:t>beaucoup ont émis des réserves à son égard, liées au caractère non remboursable</w:t>
      </w:r>
      <w:r w:rsidRPr="001F52BA">
        <w:rPr>
          <w:lang w:val="fr-CA"/>
        </w:rPr>
        <w:t xml:space="preserve"> </w:t>
      </w:r>
      <w:r>
        <w:rPr>
          <w:lang w:val="fr-CA"/>
        </w:rPr>
        <w:t>des subventions et aux répercussions</w:t>
      </w:r>
      <w:r w:rsidRPr="001F52BA">
        <w:rPr>
          <w:lang w:val="fr-CA"/>
        </w:rPr>
        <w:t xml:space="preserve"> </w:t>
      </w:r>
      <w:r>
        <w:rPr>
          <w:lang w:val="fr-CA"/>
        </w:rPr>
        <w:t>qu’elles auraient sur le déficit budgétaire fédéral</w:t>
      </w:r>
      <w:r w:rsidRPr="001F52BA">
        <w:rPr>
          <w:lang w:val="fr-CA"/>
        </w:rPr>
        <w:t>.</w:t>
      </w:r>
    </w:p>
    <w:p w14:paraId="1C57F13E" w14:textId="77777777" w:rsidR="00CA41A3" w:rsidRPr="001F52BA" w:rsidRDefault="00CA41A3" w:rsidP="00CA41A3">
      <w:pPr>
        <w:pStyle w:val="Heading3"/>
        <w:rPr>
          <w:lang w:val="fr-CA"/>
        </w:rPr>
      </w:pPr>
      <w:r w:rsidRPr="001F52BA">
        <w:rPr>
          <w:lang w:val="fr-CA"/>
        </w:rPr>
        <w:t>Autres actualités et enjeux du gouvernement fédéral</w:t>
      </w:r>
    </w:p>
    <w:p w14:paraId="74CE9CAE" w14:textId="77777777" w:rsidR="00CA41A3" w:rsidRPr="001F52BA" w:rsidRDefault="00CA41A3" w:rsidP="00CA41A3">
      <w:pPr>
        <w:rPr>
          <w:lang w:val="fr-CA"/>
        </w:rPr>
      </w:pPr>
      <w:r>
        <w:rPr>
          <w:lang w:val="fr-CA"/>
        </w:rPr>
        <w:t>Mis à part la</w:t>
      </w:r>
      <w:r w:rsidRPr="001F52BA">
        <w:rPr>
          <w:lang w:val="fr-CA"/>
        </w:rPr>
        <w:t xml:space="preserve"> COVID-19, </w:t>
      </w:r>
      <w:r>
        <w:rPr>
          <w:lang w:val="fr-CA"/>
        </w:rPr>
        <w:t xml:space="preserve">les </w:t>
      </w:r>
      <w:r w:rsidRPr="001F52BA">
        <w:rPr>
          <w:lang w:val="fr-CA"/>
        </w:rPr>
        <w:t xml:space="preserve">participants </w:t>
      </w:r>
      <w:r>
        <w:rPr>
          <w:lang w:val="fr-CA"/>
        </w:rPr>
        <w:t>ont fait allusion à d’autres actualités dont ils avaient entendu parler</w:t>
      </w:r>
      <w:r w:rsidRPr="001F52BA">
        <w:rPr>
          <w:lang w:val="fr-CA"/>
        </w:rPr>
        <w:t xml:space="preserve"> </w:t>
      </w:r>
      <w:r>
        <w:rPr>
          <w:lang w:val="fr-CA"/>
        </w:rPr>
        <w:t>concernant le gouvernement du Canada, notamment</w:t>
      </w:r>
      <w:r w:rsidRPr="0000330F">
        <w:rPr>
          <w:lang w:val="fr-CA"/>
        </w:rPr>
        <w:t xml:space="preserve"> </w:t>
      </w:r>
      <w:r>
        <w:rPr>
          <w:lang w:val="fr-CA"/>
        </w:rPr>
        <w:t>le</w:t>
      </w:r>
      <w:r w:rsidRPr="001F52BA">
        <w:rPr>
          <w:lang w:val="fr-CA"/>
        </w:rPr>
        <w:t xml:space="preserve"> </w:t>
      </w:r>
      <w:r>
        <w:rPr>
          <w:lang w:val="fr-CA"/>
        </w:rPr>
        <w:t xml:space="preserve">litige sur la pêche au homard des </w:t>
      </w:r>
      <w:proofErr w:type="spellStart"/>
      <w:r w:rsidRPr="001F52BA">
        <w:rPr>
          <w:lang w:val="fr-CA"/>
        </w:rPr>
        <w:t>Mi’kmaq</w:t>
      </w:r>
      <w:proofErr w:type="spellEnd"/>
      <w:r w:rsidRPr="001F52BA">
        <w:rPr>
          <w:lang w:val="fr-CA"/>
        </w:rPr>
        <w:t xml:space="preserve"> </w:t>
      </w:r>
      <w:r>
        <w:rPr>
          <w:lang w:val="fr-CA"/>
        </w:rPr>
        <w:t>en</w:t>
      </w:r>
      <w:r w:rsidRPr="001F52BA">
        <w:rPr>
          <w:lang w:val="fr-CA"/>
        </w:rPr>
        <w:t xml:space="preserve"> Nouvelle-Écosse, </w:t>
      </w:r>
      <w:r>
        <w:rPr>
          <w:lang w:val="fr-CA"/>
        </w:rPr>
        <w:t>l’accord</w:t>
      </w:r>
      <w:r w:rsidRPr="001F52BA">
        <w:rPr>
          <w:lang w:val="fr-CA"/>
        </w:rPr>
        <w:t xml:space="preserve"> </w:t>
      </w:r>
      <w:r>
        <w:rPr>
          <w:lang w:val="fr-CA"/>
        </w:rPr>
        <w:t>de contribution conclu avec l’organisme</w:t>
      </w:r>
      <w:r w:rsidRPr="001F52BA">
        <w:rPr>
          <w:lang w:val="fr-CA"/>
        </w:rPr>
        <w:t xml:space="preserve"> WE </w:t>
      </w:r>
      <w:proofErr w:type="spellStart"/>
      <w:r w:rsidRPr="001F52BA">
        <w:rPr>
          <w:lang w:val="fr-CA"/>
        </w:rPr>
        <w:t>Charity</w:t>
      </w:r>
      <w:proofErr w:type="spellEnd"/>
      <w:r w:rsidRPr="001F52BA">
        <w:rPr>
          <w:lang w:val="fr-CA"/>
        </w:rPr>
        <w:t xml:space="preserve">, </w:t>
      </w:r>
      <w:r>
        <w:rPr>
          <w:lang w:val="fr-CA"/>
        </w:rPr>
        <w:t>l’interdiction</w:t>
      </w:r>
      <w:r w:rsidRPr="001F52BA">
        <w:rPr>
          <w:lang w:val="fr-CA"/>
        </w:rPr>
        <w:t xml:space="preserve"> </w:t>
      </w:r>
      <w:r>
        <w:rPr>
          <w:lang w:val="fr-CA"/>
        </w:rPr>
        <w:t>des plastiques à usage unique</w:t>
      </w:r>
      <w:r w:rsidRPr="001F52BA">
        <w:rPr>
          <w:lang w:val="fr-CA"/>
        </w:rPr>
        <w:t xml:space="preserve">, </w:t>
      </w:r>
      <w:r>
        <w:rPr>
          <w:lang w:val="fr-CA"/>
        </w:rPr>
        <w:t>la progression du mouvement</w:t>
      </w:r>
      <w:r w:rsidRPr="001F52BA">
        <w:rPr>
          <w:lang w:val="fr-CA"/>
        </w:rPr>
        <w:t xml:space="preserve"> Black </w:t>
      </w:r>
      <w:proofErr w:type="spellStart"/>
      <w:r w:rsidRPr="001F52BA">
        <w:rPr>
          <w:lang w:val="fr-CA"/>
        </w:rPr>
        <w:t>Lives</w:t>
      </w:r>
      <w:proofErr w:type="spellEnd"/>
      <w:r w:rsidRPr="001F52BA">
        <w:rPr>
          <w:lang w:val="fr-CA"/>
        </w:rPr>
        <w:t xml:space="preserve"> </w:t>
      </w:r>
      <w:proofErr w:type="spellStart"/>
      <w:r w:rsidRPr="001F52BA">
        <w:rPr>
          <w:lang w:val="fr-CA"/>
        </w:rPr>
        <w:t>Matter</w:t>
      </w:r>
      <w:proofErr w:type="spellEnd"/>
      <w:r w:rsidRPr="001F52BA">
        <w:rPr>
          <w:lang w:val="fr-CA"/>
        </w:rPr>
        <w:t xml:space="preserve"> (BLM) </w:t>
      </w:r>
      <w:r>
        <w:rPr>
          <w:lang w:val="fr-CA"/>
        </w:rPr>
        <w:t>et</w:t>
      </w:r>
      <w:r w:rsidRPr="001F52BA">
        <w:rPr>
          <w:lang w:val="fr-CA"/>
        </w:rPr>
        <w:t xml:space="preserve"> </w:t>
      </w:r>
      <w:r>
        <w:rPr>
          <w:lang w:val="fr-CA"/>
        </w:rPr>
        <w:t>divers enjeux liés aux élections américaines de novembre 2020</w:t>
      </w:r>
      <w:r w:rsidRPr="001F52BA">
        <w:rPr>
          <w:lang w:val="fr-CA"/>
        </w:rPr>
        <w:t>.</w:t>
      </w:r>
    </w:p>
    <w:p w14:paraId="355DB227" w14:textId="77777777" w:rsidR="00CA41A3" w:rsidRPr="001F52BA" w:rsidRDefault="00CA41A3" w:rsidP="00CA41A3">
      <w:pPr>
        <w:rPr>
          <w:lang w:val="fr-CA"/>
        </w:rPr>
      </w:pPr>
      <w:r>
        <w:rPr>
          <w:lang w:val="fr-CA"/>
        </w:rPr>
        <w:lastRenderedPageBreak/>
        <w:t>Vers la mi-octobre</w:t>
      </w:r>
      <w:r w:rsidRPr="001F52BA">
        <w:rPr>
          <w:lang w:val="fr-CA"/>
        </w:rPr>
        <w:t>,</w:t>
      </w:r>
      <w:r>
        <w:rPr>
          <w:lang w:val="fr-CA"/>
        </w:rPr>
        <w:t xml:space="preserve"> nous avons sondé la connaissance et l’opinion de plusieurs groupes à l’égard de nouvelles récentes visant l’interdiction des plastiques à usage unique par le gouvernement du Canada. Le niveau de connaissance variait sensiblement selon le lieu, les</w:t>
      </w:r>
      <w:r w:rsidRPr="001F52BA">
        <w:rPr>
          <w:lang w:val="fr-CA"/>
        </w:rPr>
        <w:t xml:space="preserve"> participants </w:t>
      </w:r>
      <w:r>
        <w:rPr>
          <w:lang w:val="fr-CA"/>
        </w:rPr>
        <w:t>de l’est</w:t>
      </w:r>
      <w:r w:rsidRPr="001F52BA">
        <w:rPr>
          <w:lang w:val="fr-CA"/>
        </w:rPr>
        <w:t xml:space="preserve"> (Ontario </w:t>
      </w:r>
      <w:r>
        <w:rPr>
          <w:lang w:val="fr-CA"/>
        </w:rPr>
        <w:t>et</w:t>
      </w:r>
      <w:r w:rsidRPr="001F52BA">
        <w:rPr>
          <w:lang w:val="fr-CA"/>
        </w:rPr>
        <w:t xml:space="preserve"> Qu</w:t>
      </w:r>
      <w:r>
        <w:rPr>
          <w:lang w:val="fr-CA"/>
        </w:rPr>
        <w:t>é</w:t>
      </w:r>
      <w:r w:rsidRPr="001F52BA">
        <w:rPr>
          <w:lang w:val="fr-CA"/>
        </w:rPr>
        <w:t xml:space="preserve">bec) </w:t>
      </w:r>
      <w:r>
        <w:rPr>
          <w:lang w:val="fr-CA"/>
        </w:rPr>
        <w:t>étant beaucoup plus au courant de l’interdiction que ceux de l’Ouest</w:t>
      </w:r>
      <w:r w:rsidRPr="001F52BA">
        <w:rPr>
          <w:lang w:val="fr-CA"/>
        </w:rPr>
        <w:t xml:space="preserve"> (Manitoba </w:t>
      </w:r>
      <w:r>
        <w:rPr>
          <w:lang w:val="fr-CA"/>
        </w:rPr>
        <w:t>et C.-B.</w:t>
      </w:r>
      <w:r w:rsidRPr="001F52BA">
        <w:rPr>
          <w:lang w:val="fr-CA"/>
        </w:rPr>
        <w:t xml:space="preserve">). </w:t>
      </w:r>
      <w:r>
        <w:rPr>
          <w:lang w:val="fr-CA"/>
        </w:rPr>
        <w:t>Ceux qui en avaient entendu parler croyaient qu’elle entrerait en vigueur en 2021 et couvrirait des articles comme les pailles, les sacs en plastique et les</w:t>
      </w:r>
      <w:r w:rsidRPr="001F52BA">
        <w:rPr>
          <w:lang w:val="fr-CA"/>
        </w:rPr>
        <w:t xml:space="preserve"> </w:t>
      </w:r>
      <w:r>
        <w:rPr>
          <w:lang w:val="fr-CA"/>
        </w:rPr>
        <w:t>ustensiles et contenants pour emporter</w:t>
      </w:r>
      <w:r w:rsidRPr="001F52BA">
        <w:rPr>
          <w:lang w:val="fr-CA"/>
        </w:rPr>
        <w:t xml:space="preserve">. </w:t>
      </w:r>
      <w:r>
        <w:rPr>
          <w:lang w:val="fr-CA"/>
        </w:rPr>
        <w:t>De l’avis de la plupart, l’interdiction des plastiques à usage unique était une heureuse initiative</w:t>
      </w:r>
      <w:r w:rsidRPr="001F52BA">
        <w:rPr>
          <w:lang w:val="fr-CA"/>
        </w:rPr>
        <w:t xml:space="preserve">, </w:t>
      </w:r>
      <w:r>
        <w:rPr>
          <w:lang w:val="fr-CA"/>
        </w:rPr>
        <w:t>qui aurait des effets salutaires sur l’environnement</w:t>
      </w:r>
      <w:r w:rsidRPr="001F52BA">
        <w:rPr>
          <w:lang w:val="fr-CA"/>
        </w:rPr>
        <w:t xml:space="preserve">. </w:t>
      </w:r>
      <w:r>
        <w:rPr>
          <w:lang w:val="fr-CA"/>
        </w:rPr>
        <w:t>Certains participants ont toutefois mentionné qu’il faudrait proposer des solutions de rechange viables et ne pas négliger les considérations liées aux mesures sanitaires</w:t>
      </w:r>
      <w:r w:rsidRPr="001F52BA">
        <w:rPr>
          <w:lang w:val="fr-CA"/>
        </w:rPr>
        <w:t>.</w:t>
      </w:r>
    </w:p>
    <w:p w14:paraId="66884E38" w14:textId="77777777" w:rsidR="00CA41A3" w:rsidRPr="001F52BA" w:rsidRDefault="00CA41A3" w:rsidP="00CA41A3">
      <w:pPr>
        <w:pStyle w:val="Heading2"/>
        <w:rPr>
          <w:lang w:val="fr-CA"/>
        </w:rPr>
      </w:pPr>
      <w:bookmarkStart w:id="14" w:name="_Toc58091212"/>
      <w:r w:rsidRPr="001F52BA">
        <w:rPr>
          <w:lang w:val="fr-CA"/>
        </w:rPr>
        <w:t>Gestion de la COVID-19 par le gouvernement du Canada (</w:t>
      </w:r>
      <w:r>
        <w:rPr>
          <w:lang w:val="fr-CA"/>
        </w:rPr>
        <w:t>villes ontariennes aux prises avec une deuxième vague</w:t>
      </w:r>
      <w:r w:rsidRPr="001F52BA">
        <w:rPr>
          <w:lang w:val="fr-CA"/>
        </w:rPr>
        <w:t>, bénéficiaires de l’AE ou de prestations de relance habitant des villes de taille moyenne du Québec, villes de taille moyenne du sud et de l’est de l’Ontario)</w:t>
      </w:r>
      <w:bookmarkEnd w:id="14"/>
      <w:r w:rsidRPr="001F52BA">
        <w:rPr>
          <w:lang w:val="fr-CA"/>
        </w:rPr>
        <w:t xml:space="preserve"> </w:t>
      </w:r>
    </w:p>
    <w:p w14:paraId="162DA232" w14:textId="77777777" w:rsidR="00CA41A3" w:rsidRPr="001F52BA" w:rsidRDefault="00CA41A3" w:rsidP="00CA41A3">
      <w:pPr>
        <w:rPr>
          <w:lang w:val="fr-CA"/>
        </w:rPr>
      </w:pPr>
      <w:r>
        <w:rPr>
          <w:lang w:val="fr-CA"/>
        </w:rPr>
        <w:t>Tous groupes confondus, la plupart des participants s’entendaient pour dire que le gouvernement du Canada avait fait du bon travail</w:t>
      </w:r>
      <w:r w:rsidRPr="001F52BA">
        <w:rPr>
          <w:lang w:val="fr-CA"/>
        </w:rPr>
        <w:t xml:space="preserve"> </w:t>
      </w:r>
      <w:r>
        <w:rPr>
          <w:lang w:val="fr-CA"/>
        </w:rPr>
        <w:t>dans le cadre de sa réponse à la pandémie.</w:t>
      </w:r>
      <w:r w:rsidRPr="001F52BA">
        <w:rPr>
          <w:lang w:val="fr-CA"/>
        </w:rPr>
        <w:t xml:space="preserve"> </w:t>
      </w:r>
      <w:r>
        <w:rPr>
          <w:lang w:val="fr-CA"/>
        </w:rPr>
        <w:t>Ils reconnaissaient au gouvernement le mérite d’avoir déployé rapidement des soutiens financiers pour les particuliers et les entreprises, notamment la PCU</w:t>
      </w:r>
      <w:r w:rsidRPr="001F52BA">
        <w:rPr>
          <w:lang w:val="fr-CA"/>
        </w:rPr>
        <w:t>.</w:t>
      </w:r>
      <w:r>
        <w:rPr>
          <w:lang w:val="fr-CA"/>
        </w:rPr>
        <w:t xml:space="preserve"> À leurs yeux, la réponse du Canada</w:t>
      </w:r>
      <w:r w:rsidRPr="001F52BA">
        <w:rPr>
          <w:lang w:val="fr-CA"/>
        </w:rPr>
        <w:t xml:space="preserve"> </w:t>
      </w:r>
      <w:r>
        <w:rPr>
          <w:lang w:val="fr-CA"/>
        </w:rPr>
        <w:t>se comparait avantageusement à celle d’autres pays</w:t>
      </w:r>
      <w:r w:rsidRPr="001F52BA">
        <w:rPr>
          <w:lang w:val="fr-CA"/>
        </w:rPr>
        <w:t xml:space="preserve"> </w:t>
      </w:r>
      <w:r>
        <w:rPr>
          <w:lang w:val="fr-CA"/>
        </w:rPr>
        <w:t>et ils considéraient que les points de presse quotidiens, la</w:t>
      </w:r>
      <w:r w:rsidRPr="001F52BA">
        <w:rPr>
          <w:lang w:val="fr-CA"/>
        </w:rPr>
        <w:t xml:space="preserve"> </w:t>
      </w:r>
      <w:r>
        <w:rPr>
          <w:lang w:val="fr-CA"/>
        </w:rPr>
        <w:t>transparence décisionnelle, le dépistage efficace,</w:t>
      </w:r>
      <w:r w:rsidRPr="001F52BA">
        <w:rPr>
          <w:lang w:val="fr-CA"/>
        </w:rPr>
        <w:t xml:space="preserve"> </w:t>
      </w:r>
      <w:r>
        <w:rPr>
          <w:lang w:val="fr-CA"/>
        </w:rPr>
        <w:t>les contrôles supplémentaires, l’aide aux voyageurs</w:t>
      </w:r>
      <w:r w:rsidRPr="001F52BA">
        <w:rPr>
          <w:lang w:val="fr-CA"/>
        </w:rPr>
        <w:t xml:space="preserve"> </w:t>
      </w:r>
      <w:r>
        <w:rPr>
          <w:lang w:val="fr-CA"/>
        </w:rPr>
        <w:t>et les communications relatives aux consignes de sécurité avaient été bien gérés</w:t>
      </w:r>
      <w:r w:rsidRPr="001F52BA">
        <w:rPr>
          <w:lang w:val="fr-CA"/>
        </w:rPr>
        <w:t>.</w:t>
      </w:r>
    </w:p>
    <w:p w14:paraId="6FB4288F" w14:textId="77777777" w:rsidR="00CA41A3" w:rsidRPr="001F52BA" w:rsidRDefault="00CA41A3" w:rsidP="00CA41A3">
      <w:pPr>
        <w:rPr>
          <w:lang w:val="fr-CA"/>
        </w:rPr>
      </w:pPr>
      <w:r>
        <w:rPr>
          <w:lang w:val="fr-CA"/>
        </w:rPr>
        <w:t>Lorsque nous avons invité les participants à évaluer la performance du gouvernement du Canada</w:t>
      </w:r>
      <w:r w:rsidRPr="001F52BA">
        <w:rPr>
          <w:lang w:val="fr-CA"/>
        </w:rPr>
        <w:t xml:space="preserve"> </w:t>
      </w:r>
      <w:r>
        <w:rPr>
          <w:lang w:val="fr-CA"/>
        </w:rPr>
        <w:t>pour ce qui est de protéger la santé des Canadiens, de les renseigner sur les moyens de prévenir la propagation de la</w:t>
      </w:r>
      <w:r w:rsidRPr="001F52BA">
        <w:rPr>
          <w:lang w:val="fr-CA"/>
        </w:rPr>
        <w:t xml:space="preserve"> COVID-19 </w:t>
      </w:r>
      <w:r>
        <w:rPr>
          <w:lang w:val="fr-CA"/>
        </w:rPr>
        <w:t>et</w:t>
      </w:r>
      <w:r w:rsidRPr="001F52BA">
        <w:rPr>
          <w:lang w:val="fr-CA"/>
        </w:rPr>
        <w:t xml:space="preserve"> </w:t>
      </w:r>
      <w:r>
        <w:rPr>
          <w:lang w:val="fr-CA"/>
        </w:rPr>
        <w:t>d’aider financièrement ceux qui étaient touchés par la pandémie, ils se sont montrés tout aussi élogieux. La plupart estimaient que pour la dimension sanitaire, la gestion du gouvernement fédéral était aussi bonne maintenant, sinon meilleure, qu’aux premiers jours de la pandémie</w:t>
      </w:r>
      <w:r w:rsidRPr="001F52BA">
        <w:rPr>
          <w:lang w:val="fr-CA"/>
        </w:rPr>
        <w:t>.</w:t>
      </w:r>
      <w:r>
        <w:rPr>
          <w:lang w:val="fr-CA"/>
        </w:rPr>
        <w:t xml:space="preserve"> </w:t>
      </w:r>
    </w:p>
    <w:p w14:paraId="6D84F254" w14:textId="77777777" w:rsidR="00CA41A3" w:rsidRPr="001F52BA" w:rsidRDefault="00CA41A3" w:rsidP="00CA41A3">
      <w:pPr>
        <w:rPr>
          <w:lang w:val="fr-CA"/>
        </w:rPr>
      </w:pPr>
      <w:r>
        <w:rPr>
          <w:lang w:val="fr-CA"/>
        </w:rPr>
        <w:t xml:space="preserve">Appelés à dire ce que le gouvernement pourrait faire d’autre en ces domaines, les participants ont tout de même avancé quelques suggestions : </w:t>
      </w:r>
    </w:p>
    <w:p w14:paraId="20516E70" w14:textId="77777777" w:rsidR="00CA41A3" w:rsidRPr="00CE7E6A" w:rsidRDefault="00CA41A3" w:rsidP="00CE7E6A">
      <w:pPr>
        <w:pStyle w:val="ListParagraph"/>
        <w:rPr>
          <w:lang w:val="fr-CA"/>
        </w:rPr>
      </w:pPr>
      <w:r w:rsidRPr="00CE7E6A">
        <w:rPr>
          <w:lang w:val="fr-CA"/>
        </w:rPr>
        <w:t xml:space="preserve">Sur le plan de la santé, les suggestions consistaient à régler les problèmes des centres de soins de longue durée, à aider davantage les écoles et à sévir contre ceux qui font fi des consignes de la COVID-19. </w:t>
      </w:r>
    </w:p>
    <w:p w14:paraId="6F068425" w14:textId="77777777" w:rsidR="00CA41A3" w:rsidRPr="00CE7E6A" w:rsidRDefault="00CA41A3" w:rsidP="00CE7E6A">
      <w:pPr>
        <w:pStyle w:val="ListParagraph"/>
        <w:rPr>
          <w:lang w:val="fr-CA"/>
        </w:rPr>
      </w:pPr>
      <w:r w:rsidRPr="00CE7E6A">
        <w:rPr>
          <w:lang w:val="fr-CA"/>
        </w:rPr>
        <w:t>Au chapitre des communications, les participants ont proposé d’améliorer le site Web du gouvernement du Canada, de peaufiner les campagnes menées dans les médias sociaux et de recourir davantage aux médias grand public, y compris à l’affichage extérieur. Il a aussi été recommandé, par souci de transparence, que la promotion de vaccins par le gouvernement fédéral s’accompagne d’une campagne de communication fondée sur des données probantes.</w:t>
      </w:r>
    </w:p>
    <w:p w14:paraId="680867E4" w14:textId="77777777" w:rsidR="00CA41A3" w:rsidRPr="00CE7E6A" w:rsidRDefault="00CA41A3" w:rsidP="00CE7E6A">
      <w:pPr>
        <w:pStyle w:val="ListParagraph"/>
        <w:rPr>
          <w:lang w:val="fr-CA"/>
        </w:rPr>
      </w:pPr>
      <w:r w:rsidRPr="00CE7E6A">
        <w:rPr>
          <w:lang w:val="fr-CA"/>
        </w:rPr>
        <w:t xml:space="preserve">En ce qui concerne l’aide financière, les participants voulaient qu’elle cible plus précisément les personnes qui en ont besoin, et que les gens reçoivent de l’assistance (en ligne et par </w:t>
      </w:r>
      <w:r w:rsidRPr="00CE7E6A">
        <w:rPr>
          <w:lang w:val="fr-CA"/>
        </w:rPr>
        <w:lastRenderedPageBreak/>
        <w:t>l’intermédiaire du centre d’appel) pour déterminer leur admissibilité aux soutiens et présenter leur demande.</w:t>
      </w:r>
    </w:p>
    <w:p w14:paraId="258677C3" w14:textId="77777777" w:rsidR="00CA41A3" w:rsidRPr="001F52BA" w:rsidRDefault="00CA41A3" w:rsidP="00CA41A3">
      <w:pPr>
        <w:rPr>
          <w:lang w:val="fr-CA"/>
        </w:rPr>
      </w:pPr>
      <w:r>
        <w:rPr>
          <w:lang w:val="fr-CA"/>
        </w:rPr>
        <w:t>Les réactions aux trois nouvelles prestations de relance</w:t>
      </w:r>
      <w:r w:rsidRPr="001F52BA">
        <w:rPr>
          <w:lang w:val="fr-CA"/>
        </w:rPr>
        <w:t xml:space="preserve"> – </w:t>
      </w:r>
      <w:r>
        <w:rPr>
          <w:lang w:val="fr-CA"/>
        </w:rPr>
        <w:t>la Prestation canadienne de la relance économique, la</w:t>
      </w:r>
      <w:r w:rsidRPr="00B16ED9">
        <w:rPr>
          <w:lang w:val="fr-CA"/>
        </w:rPr>
        <w:t xml:space="preserve"> </w:t>
      </w:r>
      <w:r>
        <w:rPr>
          <w:lang w:val="fr-CA"/>
        </w:rPr>
        <w:t>Prestation canadienne de relance économique</w:t>
      </w:r>
      <w:r w:rsidRPr="001F52BA">
        <w:rPr>
          <w:lang w:val="fr-CA"/>
        </w:rPr>
        <w:t xml:space="preserve"> </w:t>
      </w:r>
      <w:r>
        <w:rPr>
          <w:lang w:val="fr-CA"/>
        </w:rPr>
        <w:t>pour proches aidants et la Prestation canadienne de maladie pour la relance économique</w:t>
      </w:r>
      <w:r w:rsidRPr="001F52BA">
        <w:rPr>
          <w:lang w:val="fr-CA"/>
        </w:rPr>
        <w:t xml:space="preserve"> – </w:t>
      </w:r>
      <w:r>
        <w:rPr>
          <w:lang w:val="fr-CA"/>
        </w:rPr>
        <w:t>ont été extrêmement positives</w:t>
      </w:r>
      <w:r w:rsidRPr="001F52BA">
        <w:rPr>
          <w:lang w:val="fr-CA"/>
        </w:rPr>
        <w:t>.</w:t>
      </w:r>
      <w:r>
        <w:rPr>
          <w:lang w:val="fr-CA"/>
        </w:rPr>
        <w:t xml:space="preserve"> Les deux dernières, en particulier</w:t>
      </w:r>
      <w:r w:rsidRPr="001F52BA">
        <w:rPr>
          <w:lang w:val="fr-CA"/>
        </w:rPr>
        <w:t xml:space="preserve">, </w:t>
      </w:r>
      <w:r>
        <w:rPr>
          <w:lang w:val="fr-CA"/>
        </w:rPr>
        <w:t>ont recueilli de fermes appuis, car elles</w:t>
      </w:r>
      <w:r w:rsidRPr="001F52BA">
        <w:rPr>
          <w:lang w:val="fr-CA"/>
        </w:rPr>
        <w:t xml:space="preserve"> </w:t>
      </w:r>
      <w:r>
        <w:rPr>
          <w:lang w:val="fr-CA"/>
        </w:rPr>
        <w:t>semblaient combler d’importantes lacunes</w:t>
      </w:r>
      <w:r w:rsidRPr="001F52BA">
        <w:rPr>
          <w:lang w:val="fr-CA"/>
        </w:rPr>
        <w:t xml:space="preserve"> </w:t>
      </w:r>
      <w:r>
        <w:rPr>
          <w:lang w:val="fr-CA"/>
        </w:rPr>
        <w:t>par rapport aux soutiens financiers précédemment offerts</w:t>
      </w:r>
      <w:r w:rsidRPr="001F52BA">
        <w:rPr>
          <w:lang w:val="fr-CA"/>
        </w:rPr>
        <w:t xml:space="preserve">. </w:t>
      </w:r>
      <w:bookmarkStart w:id="15" w:name="_Toc49324372"/>
    </w:p>
    <w:p w14:paraId="32AD36D4" w14:textId="77777777" w:rsidR="00CA41A3" w:rsidRPr="001F52BA" w:rsidRDefault="00CA41A3" w:rsidP="00CA41A3">
      <w:pPr>
        <w:pStyle w:val="Heading2"/>
        <w:rPr>
          <w:lang w:val="fr-CA"/>
        </w:rPr>
      </w:pPr>
      <w:bookmarkStart w:id="16" w:name="_Toc58091213"/>
      <w:r w:rsidRPr="001F52BA">
        <w:rPr>
          <w:lang w:val="fr-CA"/>
        </w:rPr>
        <w:t xml:space="preserve">Changements de comportement (Nouvelle-Écosse, Canadiens </w:t>
      </w:r>
      <w:proofErr w:type="spellStart"/>
      <w:r w:rsidRPr="001F52BA">
        <w:rPr>
          <w:lang w:val="fr-CA"/>
        </w:rPr>
        <w:t>racialisés</w:t>
      </w:r>
      <w:proofErr w:type="spellEnd"/>
      <w:r w:rsidRPr="001F52BA">
        <w:rPr>
          <w:lang w:val="fr-CA"/>
        </w:rPr>
        <w:t xml:space="preserve"> de la GRM, Canadiens </w:t>
      </w:r>
      <w:proofErr w:type="spellStart"/>
      <w:r w:rsidRPr="001F52BA">
        <w:rPr>
          <w:lang w:val="fr-CA"/>
        </w:rPr>
        <w:t>racialisés</w:t>
      </w:r>
      <w:proofErr w:type="spellEnd"/>
      <w:r w:rsidRPr="001F52BA">
        <w:rPr>
          <w:lang w:val="fr-CA"/>
        </w:rPr>
        <w:t xml:space="preserve"> de la RGTH, Autochtones du Canada atlantique, </w:t>
      </w:r>
      <w:bookmarkStart w:id="17" w:name="_Hlk63512046"/>
      <w:r w:rsidRPr="001F52BA">
        <w:rPr>
          <w:lang w:val="fr-CA"/>
        </w:rPr>
        <w:t>bénéficiaires de l’AE ou de prestations de relance habitant de grandes villes ou des villes de taille moyenne de l’Ontario</w:t>
      </w:r>
      <w:bookmarkEnd w:id="17"/>
      <w:r w:rsidRPr="001F52BA">
        <w:rPr>
          <w:lang w:val="fr-CA"/>
        </w:rPr>
        <w:t xml:space="preserve">, ville de Québec, Yellowknife, </w:t>
      </w:r>
      <w:r>
        <w:rPr>
          <w:lang w:val="fr-CA"/>
        </w:rPr>
        <w:t>villes ontariennes aux prises avec une deuxième vague</w:t>
      </w:r>
      <w:r w:rsidRPr="001F52BA">
        <w:rPr>
          <w:lang w:val="fr-CA"/>
        </w:rPr>
        <w:t>, villes de taille moyenne du sud et de l’est de l’Ontario)</w:t>
      </w:r>
      <w:bookmarkEnd w:id="15"/>
      <w:bookmarkEnd w:id="16"/>
    </w:p>
    <w:p w14:paraId="3A1D2554" w14:textId="77777777" w:rsidR="00CA41A3" w:rsidRPr="001F52BA" w:rsidRDefault="00CA41A3" w:rsidP="00CA41A3">
      <w:pPr>
        <w:rPr>
          <w:lang w:val="fr-CA"/>
        </w:rPr>
      </w:pPr>
      <w:bookmarkStart w:id="18" w:name="_Toc42591963"/>
      <w:bookmarkStart w:id="19" w:name="_Toc49324373"/>
      <w:r>
        <w:rPr>
          <w:lang w:val="fr-CA"/>
        </w:rPr>
        <w:t>Nous avons demandé aux p</w:t>
      </w:r>
      <w:r w:rsidRPr="001F52BA">
        <w:rPr>
          <w:lang w:val="fr-CA"/>
        </w:rPr>
        <w:t xml:space="preserve">articipants </w:t>
      </w:r>
      <w:r>
        <w:rPr>
          <w:lang w:val="fr-CA"/>
        </w:rPr>
        <w:t>en quoi leurs comportements et leurs habitudes avaient changé ces dernières semaines ou ces derniers mois avec l’évolution de la pandémie</w:t>
      </w:r>
      <w:r w:rsidRPr="001F52BA">
        <w:rPr>
          <w:lang w:val="fr-CA"/>
        </w:rPr>
        <w:t>.</w:t>
      </w:r>
      <w:r>
        <w:rPr>
          <w:lang w:val="fr-CA"/>
        </w:rPr>
        <w:t xml:space="preserve"> Les réponses ont varié selon leurs circonstances personnelles, par exemple leur</w:t>
      </w:r>
      <w:r w:rsidRPr="00AB0F56">
        <w:rPr>
          <w:lang w:val="fr-CA"/>
        </w:rPr>
        <w:t xml:space="preserve"> </w:t>
      </w:r>
      <w:r>
        <w:rPr>
          <w:lang w:val="fr-CA"/>
        </w:rPr>
        <w:t>situation familiale et professionnelle</w:t>
      </w:r>
      <w:r w:rsidRPr="001F52BA">
        <w:rPr>
          <w:lang w:val="fr-CA"/>
        </w:rPr>
        <w:t xml:space="preserve">, </w:t>
      </w:r>
      <w:r>
        <w:rPr>
          <w:lang w:val="fr-CA"/>
        </w:rPr>
        <w:t>ainsi qu’en fonction de la trajectoire des cas dans leur région</w:t>
      </w:r>
      <w:r w:rsidRPr="001F52BA">
        <w:rPr>
          <w:lang w:val="fr-CA"/>
        </w:rPr>
        <w:t>.</w:t>
      </w:r>
      <w:r>
        <w:rPr>
          <w:lang w:val="fr-CA"/>
        </w:rPr>
        <w:t xml:space="preserve"> </w:t>
      </w:r>
    </w:p>
    <w:p w14:paraId="0B2DD7D8" w14:textId="77777777" w:rsidR="00CA41A3" w:rsidRPr="001F52BA" w:rsidRDefault="00CA41A3" w:rsidP="00CA41A3">
      <w:pPr>
        <w:rPr>
          <w:lang w:val="fr-CA"/>
        </w:rPr>
      </w:pPr>
      <w:r>
        <w:rPr>
          <w:lang w:val="fr-CA"/>
        </w:rPr>
        <w:t>Pour certains, rien ou presque n’avait changé.</w:t>
      </w:r>
      <w:r w:rsidRPr="001F52BA">
        <w:rPr>
          <w:lang w:val="fr-CA"/>
        </w:rPr>
        <w:t xml:space="preserve"> </w:t>
      </w:r>
      <w:r>
        <w:rPr>
          <w:lang w:val="fr-CA"/>
        </w:rPr>
        <w:t>Ils avaient instauré une routine dès les premiers mois de la pandémie et s’y tenaient sans trop de difficulté</w:t>
      </w:r>
      <w:r w:rsidRPr="001F52BA">
        <w:rPr>
          <w:lang w:val="fr-CA"/>
        </w:rPr>
        <w:t>.</w:t>
      </w:r>
      <w:r>
        <w:rPr>
          <w:lang w:val="fr-CA"/>
        </w:rPr>
        <w:t xml:space="preserve"> Ces participants</w:t>
      </w:r>
      <w:r w:rsidRPr="001F52BA">
        <w:rPr>
          <w:lang w:val="fr-CA"/>
        </w:rPr>
        <w:t xml:space="preserve"> </w:t>
      </w:r>
      <w:r>
        <w:rPr>
          <w:lang w:val="fr-CA"/>
        </w:rPr>
        <w:t>observaient les mesures de sécurité contre la</w:t>
      </w:r>
      <w:r w:rsidRPr="001F52BA">
        <w:rPr>
          <w:lang w:val="fr-CA"/>
        </w:rPr>
        <w:t xml:space="preserve"> COVID-19</w:t>
      </w:r>
      <w:r>
        <w:rPr>
          <w:lang w:val="fr-CA"/>
        </w:rPr>
        <w:t>, désormais familières</w:t>
      </w:r>
      <w:r w:rsidRPr="001F52BA">
        <w:rPr>
          <w:lang w:val="fr-CA"/>
        </w:rPr>
        <w:t>.</w:t>
      </w:r>
      <w:r>
        <w:rPr>
          <w:lang w:val="fr-CA"/>
        </w:rPr>
        <w:t xml:space="preserve"> </w:t>
      </w:r>
    </w:p>
    <w:p w14:paraId="78BE2227" w14:textId="77777777" w:rsidR="00CA41A3" w:rsidRPr="001F52BA" w:rsidRDefault="00CA41A3" w:rsidP="00CA41A3">
      <w:pPr>
        <w:rPr>
          <w:lang w:val="fr-CA"/>
        </w:rPr>
      </w:pPr>
      <w:r>
        <w:rPr>
          <w:lang w:val="fr-CA"/>
        </w:rPr>
        <w:t>D’autres</w:t>
      </w:r>
      <w:r w:rsidRPr="001F52BA">
        <w:rPr>
          <w:lang w:val="fr-CA"/>
        </w:rPr>
        <w:t xml:space="preserve"> </w:t>
      </w:r>
      <w:r>
        <w:rPr>
          <w:lang w:val="fr-CA"/>
        </w:rPr>
        <w:t>ont indiqué qu’ils continuaient à s’adapter aux exigences de la situation</w:t>
      </w:r>
      <w:r w:rsidRPr="001F52BA">
        <w:rPr>
          <w:lang w:val="fr-CA"/>
        </w:rPr>
        <w:t>.</w:t>
      </w:r>
      <w:r>
        <w:rPr>
          <w:lang w:val="fr-CA"/>
        </w:rPr>
        <w:t xml:space="preserve"> Beaucoup</w:t>
      </w:r>
      <w:r w:rsidRPr="001F52BA">
        <w:rPr>
          <w:lang w:val="fr-CA"/>
        </w:rPr>
        <w:t xml:space="preserve"> </w:t>
      </w:r>
      <w:r>
        <w:rPr>
          <w:lang w:val="fr-CA"/>
        </w:rPr>
        <w:t>ont dit se montrer plus vigilants</w:t>
      </w:r>
      <w:r w:rsidRPr="001F52BA">
        <w:rPr>
          <w:lang w:val="fr-CA"/>
        </w:rPr>
        <w:t xml:space="preserve"> </w:t>
      </w:r>
      <w:r>
        <w:rPr>
          <w:lang w:val="fr-CA"/>
        </w:rPr>
        <w:t>en réponse à la hausse des cas dans leur région. Ils portaient le masque plus régulièrement et évitaient</w:t>
      </w:r>
      <w:r w:rsidRPr="001F52BA">
        <w:rPr>
          <w:lang w:val="fr-CA"/>
        </w:rPr>
        <w:t xml:space="preserve"> </w:t>
      </w:r>
      <w:r>
        <w:rPr>
          <w:lang w:val="fr-CA"/>
        </w:rPr>
        <w:t>de sortir au restaurant, d’aller magasiner et d’utiliser les transports en commun</w:t>
      </w:r>
      <w:r w:rsidRPr="001F52BA">
        <w:rPr>
          <w:lang w:val="fr-CA"/>
        </w:rPr>
        <w:t>.</w:t>
      </w:r>
      <w:r>
        <w:rPr>
          <w:lang w:val="fr-CA"/>
        </w:rPr>
        <w:t xml:space="preserve"> Plusieurs</w:t>
      </w:r>
      <w:r w:rsidRPr="001F52BA">
        <w:rPr>
          <w:lang w:val="fr-CA"/>
        </w:rPr>
        <w:t xml:space="preserve"> participants </w:t>
      </w:r>
      <w:r>
        <w:rPr>
          <w:lang w:val="fr-CA"/>
        </w:rPr>
        <w:t>prenaient</w:t>
      </w:r>
      <w:r w:rsidRPr="001F52BA">
        <w:rPr>
          <w:lang w:val="fr-CA"/>
        </w:rPr>
        <w:t xml:space="preserve"> </w:t>
      </w:r>
      <w:r>
        <w:rPr>
          <w:lang w:val="fr-CA"/>
        </w:rPr>
        <w:t>davantage de précautions</w:t>
      </w:r>
      <w:r w:rsidRPr="001F52BA">
        <w:rPr>
          <w:lang w:val="fr-CA"/>
        </w:rPr>
        <w:t xml:space="preserve"> </w:t>
      </w:r>
      <w:r>
        <w:rPr>
          <w:lang w:val="fr-CA"/>
        </w:rPr>
        <w:t>à l’approche d’un hiver et d’une saison grippale</w:t>
      </w:r>
      <w:r w:rsidRPr="001F52BA">
        <w:rPr>
          <w:lang w:val="fr-CA"/>
        </w:rPr>
        <w:t xml:space="preserve"> </w:t>
      </w:r>
      <w:r>
        <w:rPr>
          <w:lang w:val="fr-CA"/>
        </w:rPr>
        <w:t>pressentis comme difficiles, qui risquaient de fortement solliciter le système de soins de santé</w:t>
      </w:r>
      <w:r w:rsidRPr="001F52BA">
        <w:rPr>
          <w:lang w:val="fr-CA"/>
        </w:rPr>
        <w:t>.</w:t>
      </w:r>
      <w:r>
        <w:rPr>
          <w:lang w:val="fr-CA"/>
        </w:rPr>
        <w:t xml:space="preserve"> D’autres</w:t>
      </w:r>
      <w:r w:rsidRPr="001F52BA">
        <w:rPr>
          <w:lang w:val="fr-CA"/>
        </w:rPr>
        <w:t xml:space="preserve"> </w:t>
      </w:r>
      <w:r>
        <w:rPr>
          <w:lang w:val="fr-CA"/>
        </w:rPr>
        <w:t>faisaient le choix conscient de moins voir</w:t>
      </w:r>
      <w:r w:rsidRPr="0038194F">
        <w:rPr>
          <w:lang w:val="fr-CA"/>
        </w:rPr>
        <w:t xml:space="preserve"> </w:t>
      </w:r>
      <w:r>
        <w:rPr>
          <w:lang w:val="fr-CA"/>
        </w:rPr>
        <w:t xml:space="preserve">des amis ou des parents âgés hors de leur bulle, craignant qu’ils soient plus vulnérables en cas d’exposition au </w:t>
      </w:r>
      <w:r w:rsidRPr="001F52BA">
        <w:rPr>
          <w:lang w:val="fr-CA"/>
        </w:rPr>
        <w:t>virus.</w:t>
      </w:r>
      <w:r>
        <w:rPr>
          <w:lang w:val="fr-CA"/>
        </w:rPr>
        <w:t xml:space="preserve"> De nombreux</w:t>
      </w:r>
      <w:r w:rsidRPr="001F52BA">
        <w:rPr>
          <w:lang w:val="fr-CA"/>
        </w:rPr>
        <w:t xml:space="preserve"> participants </w:t>
      </w:r>
      <w:r>
        <w:rPr>
          <w:lang w:val="fr-CA"/>
        </w:rPr>
        <w:t>ont</w:t>
      </w:r>
      <w:r w:rsidRPr="001F52BA">
        <w:rPr>
          <w:lang w:val="fr-CA"/>
        </w:rPr>
        <w:t xml:space="preserve"> </w:t>
      </w:r>
      <w:r>
        <w:rPr>
          <w:lang w:val="fr-CA"/>
        </w:rPr>
        <w:t>parlé de</w:t>
      </w:r>
      <w:r w:rsidRPr="001F52BA">
        <w:rPr>
          <w:lang w:val="fr-CA"/>
        </w:rPr>
        <w:t xml:space="preserve"> </w:t>
      </w:r>
      <w:r>
        <w:rPr>
          <w:lang w:val="fr-CA"/>
        </w:rPr>
        <w:t>l’</w:t>
      </w:r>
      <w:r w:rsidRPr="001F52BA">
        <w:rPr>
          <w:lang w:val="fr-CA"/>
        </w:rPr>
        <w:t>impact</w:t>
      </w:r>
      <w:r>
        <w:rPr>
          <w:lang w:val="fr-CA"/>
        </w:rPr>
        <w:t xml:space="preserve"> de ces changements et de leur profonde frustration à la perspective de ne pas pouvoir </w:t>
      </w:r>
      <w:proofErr w:type="gramStart"/>
      <w:r>
        <w:rPr>
          <w:lang w:val="fr-CA"/>
        </w:rPr>
        <w:t>fêter</w:t>
      </w:r>
      <w:proofErr w:type="gramEnd"/>
      <w:r>
        <w:rPr>
          <w:lang w:val="fr-CA"/>
        </w:rPr>
        <w:t xml:space="preserve"> l’Action de grâce et Noël en famille</w:t>
      </w:r>
      <w:r w:rsidRPr="001F52BA">
        <w:rPr>
          <w:lang w:val="fr-CA"/>
        </w:rPr>
        <w:t>.</w:t>
      </w:r>
      <w:r>
        <w:rPr>
          <w:lang w:val="fr-CA"/>
        </w:rPr>
        <w:t xml:space="preserve"> </w:t>
      </w:r>
    </w:p>
    <w:p w14:paraId="31312436" w14:textId="77777777" w:rsidR="00CA41A3" w:rsidRPr="001F52BA" w:rsidRDefault="00CA41A3" w:rsidP="00CA41A3">
      <w:pPr>
        <w:rPr>
          <w:lang w:val="fr-CA"/>
        </w:rPr>
      </w:pPr>
      <w:r>
        <w:rPr>
          <w:lang w:val="fr-CA"/>
        </w:rPr>
        <w:t>Même ceux qui</w:t>
      </w:r>
      <w:r w:rsidRPr="001F52BA">
        <w:rPr>
          <w:lang w:val="fr-CA"/>
        </w:rPr>
        <w:t xml:space="preserve"> </w:t>
      </w:r>
      <w:r>
        <w:rPr>
          <w:lang w:val="fr-CA"/>
        </w:rPr>
        <w:t>s’aventuraient de nouveau à l’extérieur depuis quelques semaines ont</w:t>
      </w:r>
      <w:r w:rsidRPr="001F52BA">
        <w:rPr>
          <w:lang w:val="fr-CA"/>
        </w:rPr>
        <w:t xml:space="preserve"> </w:t>
      </w:r>
      <w:r>
        <w:rPr>
          <w:lang w:val="fr-CA"/>
        </w:rPr>
        <w:t>dit se montrer très prudents durant leurs activités et leurs interactions</w:t>
      </w:r>
      <w:r w:rsidRPr="001F52BA">
        <w:rPr>
          <w:lang w:val="fr-CA"/>
        </w:rPr>
        <w:t>.</w:t>
      </w:r>
      <w:r>
        <w:rPr>
          <w:lang w:val="fr-CA"/>
        </w:rPr>
        <w:t xml:space="preserve"> Quelques participants ont toutefois indiqué</w:t>
      </w:r>
      <w:r w:rsidRPr="001F52BA">
        <w:rPr>
          <w:lang w:val="fr-CA"/>
        </w:rPr>
        <w:t xml:space="preserve"> </w:t>
      </w:r>
      <w:r>
        <w:rPr>
          <w:lang w:val="fr-CA"/>
        </w:rPr>
        <w:t>qu’ils</w:t>
      </w:r>
      <w:r w:rsidRPr="001F52BA">
        <w:rPr>
          <w:lang w:val="fr-CA"/>
        </w:rPr>
        <w:t xml:space="preserve"> </w:t>
      </w:r>
      <w:r>
        <w:rPr>
          <w:lang w:val="fr-CA"/>
        </w:rPr>
        <w:t xml:space="preserve">rendaient plus facilement visite à des parents âgés ou </w:t>
      </w:r>
      <w:proofErr w:type="gramStart"/>
      <w:r>
        <w:rPr>
          <w:lang w:val="fr-CA"/>
        </w:rPr>
        <w:t>immunodéprimés;</w:t>
      </w:r>
      <w:proofErr w:type="gramEnd"/>
      <w:r>
        <w:rPr>
          <w:lang w:val="fr-CA"/>
        </w:rPr>
        <w:t xml:space="preserve"> étant donné que tout le monde</w:t>
      </w:r>
      <w:r w:rsidRPr="001F52BA">
        <w:rPr>
          <w:lang w:val="fr-CA"/>
        </w:rPr>
        <w:t xml:space="preserve"> </w:t>
      </w:r>
      <w:r>
        <w:rPr>
          <w:lang w:val="fr-CA"/>
        </w:rPr>
        <w:t>prenait les précautions voulues</w:t>
      </w:r>
      <w:r w:rsidRPr="001F52BA">
        <w:rPr>
          <w:lang w:val="fr-CA"/>
        </w:rPr>
        <w:t xml:space="preserve">, </w:t>
      </w:r>
      <w:r>
        <w:rPr>
          <w:lang w:val="fr-CA"/>
        </w:rPr>
        <w:t>il leur semblait maintenant sécuritaire d’élargir leur bulle</w:t>
      </w:r>
      <w:r w:rsidRPr="001F52BA">
        <w:rPr>
          <w:lang w:val="fr-CA"/>
        </w:rPr>
        <w:t>.</w:t>
      </w:r>
      <w:r>
        <w:rPr>
          <w:lang w:val="fr-CA"/>
        </w:rPr>
        <w:t xml:space="preserve"> </w:t>
      </w:r>
    </w:p>
    <w:p w14:paraId="4546F0C7" w14:textId="77777777" w:rsidR="00CA41A3" w:rsidRPr="001F52BA" w:rsidRDefault="00CA41A3" w:rsidP="00CA41A3">
      <w:pPr>
        <w:pStyle w:val="Heading3"/>
        <w:rPr>
          <w:lang w:val="fr-CA"/>
        </w:rPr>
      </w:pPr>
      <w:r>
        <w:rPr>
          <w:lang w:val="fr-CA"/>
        </w:rPr>
        <w:t>Habitudes de dépenses</w:t>
      </w:r>
      <w:r w:rsidRPr="001F52BA">
        <w:rPr>
          <w:lang w:val="fr-CA"/>
        </w:rPr>
        <w:t xml:space="preserve"> </w:t>
      </w:r>
    </w:p>
    <w:p w14:paraId="4D8FCEDF" w14:textId="77777777" w:rsidR="00CA41A3" w:rsidRPr="001F52BA" w:rsidRDefault="00CA41A3" w:rsidP="00CA41A3">
      <w:pPr>
        <w:rPr>
          <w:lang w:val="fr-CA"/>
        </w:rPr>
      </w:pPr>
      <w:r>
        <w:rPr>
          <w:lang w:val="fr-CA"/>
        </w:rPr>
        <w:t>Les participants ont été à peu près aussi nombreux à faire état d’une hausse de leurs dépenses sous l’effet de la pandémie</w:t>
      </w:r>
      <w:r w:rsidRPr="00C604D9">
        <w:rPr>
          <w:lang w:val="fr-CA"/>
        </w:rPr>
        <w:t xml:space="preserve"> </w:t>
      </w:r>
      <w:r>
        <w:rPr>
          <w:lang w:val="fr-CA"/>
        </w:rPr>
        <w:t>que d’une baisse. La hausse s’expliquait surtout par la progression du coût de la vie</w:t>
      </w:r>
      <w:r w:rsidRPr="001F52BA">
        <w:rPr>
          <w:lang w:val="fr-CA"/>
        </w:rPr>
        <w:t xml:space="preserve">, </w:t>
      </w:r>
      <w:r>
        <w:rPr>
          <w:lang w:val="fr-CA"/>
        </w:rPr>
        <w:t>associée à des factures plus élevées pour l’épicerie, le carburant et l’électricité</w:t>
      </w:r>
      <w:r w:rsidRPr="001F52BA">
        <w:rPr>
          <w:lang w:val="fr-CA"/>
        </w:rPr>
        <w:t>.</w:t>
      </w:r>
      <w:r>
        <w:rPr>
          <w:lang w:val="fr-CA"/>
        </w:rPr>
        <w:t xml:space="preserve"> Dans certaines familles, l’achat d’ordinateurs pour les enfants qui étaient passés à l’apprentissage à distance </w:t>
      </w:r>
      <w:r>
        <w:rPr>
          <w:lang w:val="fr-CA"/>
        </w:rPr>
        <w:lastRenderedPageBreak/>
        <w:t>représentait une dépense supplémentaire</w:t>
      </w:r>
      <w:r w:rsidRPr="001F52BA">
        <w:rPr>
          <w:lang w:val="fr-CA"/>
        </w:rPr>
        <w:t>.</w:t>
      </w:r>
      <w:r>
        <w:rPr>
          <w:lang w:val="fr-CA"/>
        </w:rPr>
        <w:t xml:space="preserve"> D’autres dépenses en hausse, de nature discrétionnaire,</w:t>
      </w:r>
      <w:r w:rsidRPr="001F52BA">
        <w:rPr>
          <w:lang w:val="fr-CA"/>
        </w:rPr>
        <w:t xml:space="preserve"> </w:t>
      </w:r>
      <w:r>
        <w:rPr>
          <w:lang w:val="fr-CA"/>
        </w:rPr>
        <w:t>étaient liées au magasinage en ligne, aux loisirs et aux rénovations</w:t>
      </w:r>
      <w:r w:rsidRPr="001F52BA">
        <w:rPr>
          <w:lang w:val="fr-CA"/>
        </w:rPr>
        <w:t>.</w:t>
      </w:r>
      <w:r>
        <w:rPr>
          <w:lang w:val="fr-CA"/>
        </w:rPr>
        <w:t xml:space="preserve"> De leur côté, les participants dont les dépenses avaient diminué ont dit avoir économisé sur le transport depuis qu’ils travaillaient chez eux (essence, carte de transport en commun) et avoir réduit leurs dépenses de loisirs et de divertissement</w:t>
      </w:r>
      <w:r w:rsidRPr="001F52BA">
        <w:rPr>
          <w:lang w:val="fr-CA"/>
        </w:rPr>
        <w:t>.</w:t>
      </w:r>
      <w:r>
        <w:rPr>
          <w:lang w:val="fr-CA"/>
        </w:rPr>
        <w:t xml:space="preserve"> Les habitudes de dépenses avaient tendance à suivre les cycles d’ouverture et de fermeture des entreprises, au gré des étapes où se trouvaient les villes et les régions dans leur réponse à la </w:t>
      </w:r>
      <w:r w:rsidRPr="001F52BA">
        <w:rPr>
          <w:lang w:val="fr-CA"/>
        </w:rPr>
        <w:t>COVID-19.</w:t>
      </w:r>
      <w:r>
        <w:rPr>
          <w:lang w:val="fr-CA"/>
        </w:rPr>
        <w:t xml:space="preserve"> La plupart des participants ont affirmé que dans l’ensemble la vie était plus chère et ont désigné les coûts croissants des aliments, de l’électricité et de l’essence comme les principaux responsables</w:t>
      </w:r>
      <w:r w:rsidRPr="001F52BA">
        <w:rPr>
          <w:lang w:val="fr-CA"/>
        </w:rPr>
        <w:t>.</w:t>
      </w:r>
      <w:r w:rsidRPr="0035457D">
        <w:rPr>
          <w:highlight w:val="yellow"/>
          <w:lang w:val="fr-CA"/>
        </w:rPr>
        <w:t xml:space="preserve"> </w:t>
      </w:r>
    </w:p>
    <w:p w14:paraId="21000CEB" w14:textId="77777777" w:rsidR="00CA41A3" w:rsidRPr="001F52BA" w:rsidRDefault="00CA41A3" w:rsidP="00CA41A3">
      <w:pPr>
        <w:pStyle w:val="Heading3"/>
        <w:rPr>
          <w:lang w:val="fr-CA"/>
        </w:rPr>
      </w:pPr>
      <w:r>
        <w:rPr>
          <w:lang w:val="fr-CA"/>
        </w:rPr>
        <w:t>Points de vue sur une deuxième vague</w:t>
      </w:r>
      <w:r w:rsidRPr="001F52BA">
        <w:rPr>
          <w:lang w:val="fr-CA"/>
        </w:rPr>
        <w:t xml:space="preserve"> </w:t>
      </w:r>
    </w:p>
    <w:p w14:paraId="19FC46ED" w14:textId="77777777" w:rsidR="00CA41A3" w:rsidRPr="001F52BA" w:rsidRDefault="00CA41A3" w:rsidP="00CA41A3">
      <w:pPr>
        <w:rPr>
          <w:lang w:val="fr-CA"/>
        </w:rPr>
      </w:pPr>
      <w:r>
        <w:rPr>
          <w:lang w:val="fr-CA"/>
        </w:rPr>
        <w:t>De l’avis général des participants, une deuxième vague de COVID-19 frappait déjà de nombreuses régions du Canada – sauf les provinces de l’Atlantique – ou le ferait sous peu. Les p</w:t>
      </w:r>
      <w:r w:rsidRPr="001F52BA">
        <w:rPr>
          <w:lang w:val="fr-CA"/>
        </w:rPr>
        <w:t xml:space="preserve">articipants </w:t>
      </w:r>
      <w:r>
        <w:rPr>
          <w:lang w:val="fr-CA"/>
        </w:rPr>
        <w:t>de l’Atlantique</w:t>
      </w:r>
      <w:r w:rsidRPr="001F52BA">
        <w:rPr>
          <w:lang w:val="fr-CA"/>
        </w:rPr>
        <w:t xml:space="preserve"> </w:t>
      </w:r>
      <w:r>
        <w:rPr>
          <w:lang w:val="fr-CA"/>
        </w:rPr>
        <w:t>reconnaissaient aussi qu’une deuxième vague était inévitable, malgré leur nombre de cas faible par rapport au reste du pays</w:t>
      </w:r>
      <w:r w:rsidRPr="001F52BA">
        <w:rPr>
          <w:lang w:val="fr-CA"/>
        </w:rPr>
        <w:t>.</w:t>
      </w:r>
    </w:p>
    <w:p w14:paraId="7E39A45F" w14:textId="77777777" w:rsidR="00CA41A3" w:rsidRPr="001F52BA" w:rsidRDefault="00CA41A3" w:rsidP="00CA41A3">
      <w:pPr>
        <w:rPr>
          <w:lang w:val="fr-CA"/>
        </w:rPr>
      </w:pPr>
      <w:r>
        <w:rPr>
          <w:lang w:val="fr-CA"/>
        </w:rPr>
        <w:t>Cela dit, un certain optimisme avait cours quant à l’état de préparation des gouvernements et des autorités de la santé publique et à leur capacité de gérer une deuxième vague</w:t>
      </w:r>
      <w:r w:rsidRPr="001F52BA">
        <w:rPr>
          <w:lang w:val="fr-CA"/>
        </w:rPr>
        <w:t>.</w:t>
      </w:r>
      <w:r>
        <w:rPr>
          <w:lang w:val="fr-CA"/>
        </w:rPr>
        <w:t xml:space="preserve"> En ce qui concerne la réponse de la population, beaucoup pensaient que les gens s’étaient habitués aux directives et y adhéreraient donc plus facilement cette fois-ci</w:t>
      </w:r>
      <w:r w:rsidRPr="001F52BA">
        <w:rPr>
          <w:lang w:val="fr-CA"/>
        </w:rPr>
        <w:t>.</w:t>
      </w:r>
      <w:r>
        <w:rPr>
          <w:lang w:val="fr-CA"/>
        </w:rPr>
        <w:t xml:space="preserve"> Les participants s’attendaient néanmoins à ce que l’hiver et la saison des rhumes et des grippes compliquent la lutte contre la COVID-19, notamment à cause de la difficulté à s’y retrouver dans les symptômes</w:t>
      </w:r>
      <w:r w:rsidRPr="001F52BA">
        <w:rPr>
          <w:lang w:val="fr-CA"/>
        </w:rPr>
        <w:t>.</w:t>
      </w:r>
      <w:r>
        <w:rPr>
          <w:lang w:val="fr-CA"/>
        </w:rPr>
        <w:t xml:space="preserve"> Ils anticipaient une autre ronde de fermetures, </w:t>
      </w:r>
      <w:r w:rsidRPr="00F24386">
        <w:rPr>
          <w:lang w:val="fr-CA"/>
        </w:rPr>
        <w:t xml:space="preserve">mais espéraient que les mesures seraient moins draconiennes pour ce qui est de l’ampleur du confinement et la </w:t>
      </w:r>
      <w:r>
        <w:rPr>
          <w:lang w:val="fr-CA"/>
        </w:rPr>
        <w:t>période</w:t>
      </w:r>
      <w:r w:rsidRPr="00F24386">
        <w:rPr>
          <w:lang w:val="fr-CA"/>
        </w:rPr>
        <w:t xml:space="preserve"> </w:t>
      </w:r>
      <w:r>
        <w:rPr>
          <w:lang w:val="fr-CA"/>
        </w:rPr>
        <w:t>d</w:t>
      </w:r>
      <w:r w:rsidRPr="00F24386">
        <w:rPr>
          <w:lang w:val="fr-CA"/>
        </w:rPr>
        <w:t>’isolement.</w:t>
      </w:r>
      <w:r>
        <w:rPr>
          <w:lang w:val="fr-CA"/>
        </w:rPr>
        <w:t xml:space="preserve"> Certains redoutaient que les problèmes de santé mentale s’accentuent lors d’une deuxième </w:t>
      </w:r>
      <w:proofErr w:type="gramStart"/>
      <w:r>
        <w:rPr>
          <w:lang w:val="fr-CA"/>
        </w:rPr>
        <w:t>vague;</w:t>
      </w:r>
      <w:proofErr w:type="gramEnd"/>
      <w:r>
        <w:rPr>
          <w:lang w:val="fr-CA"/>
        </w:rPr>
        <w:t xml:space="preserve"> selon eux, beaucoup de gens auraient du mal à supporter le manque d’activités sociales, conjugué à la déprime saisonnière</w:t>
      </w:r>
      <w:r w:rsidRPr="001F52BA">
        <w:rPr>
          <w:lang w:val="fr-CA"/>
        </w:rPr>
        <w:t>.</w:t>
      </w:r>
    </w:p>
    <w:p w14:paraId="0463CC26" w14:textId="77777777" w:rsidR="00CA41A3" w:rsidRPr="001F52BA" w:rsidRDefault="00CA41A3" w:rsidP="00CA41A3">
      <w:pPr>
        <w:rPr>
          <w:lang w:val="fr-CA"/>
        </w:rPr>
      </w:pPr>
      <w:r>
        <w:rPr>
          <w:lang w:val="fr-CA"/>
        </w:rPr>
        <w:t>Les p</w:t>
      </w:r>
      <w:r w:rsidRPr="001F52BA">
        <w:rPr>
          <w:lang w:val="fr-CA"/>
        </w:rPr>
        <w:t xml:space="preserve">articipants </w:t>
      </w:r>
      <w:r>
        <w:rPr>
          <w:lang w:val="fr-CA"/>
        </w:rPr>
        <w:t>hésitaient à dire dans quelles conditions il serait justifié de rétablir les restrictions pour combattre une deuxième vague de</w:t>
      </w:r>
      <w:r w:rsidRPr="001F52BA">
        <w:rPr>
          <w:lang w:val="fr-CA"/>
        </w:rPr>
        <w:t xml:space="preserve"> COVID-19.</w:t>
      </w:r>
      <w:r>
        <w:rPr>
          <w:lang w:val="fr-CA"/>
        </w:rPr>
        <w:t xml:space="preserve"> La plupart pensaient que les mesures devraient dépendre des taux d’infection</w:t>
      </w:r>
      <w:r w:rsidRPr="001F52BA">
        <w:rPr>
          <w:lang w:val="fr-CA"/>
        </w:rPr>
        <w:t>.</w:t>
      </w:r>
      <w:r>
        <w:rPr>
          <w:lang w:val="fr-CA"/>
        </w:rPr>
        <w:t xml:space="preserve"> Ils croyaient aussi que les gouvernements pourraient intervenir</w:t>
      </w:r>
      <w:r w:rsidRPr="001F52BA">
        <w:rPr>
          <w:lang w:val="fr-CA"/>
        </w:rPr>
        <w:t xml:space="preserve"> </w:t>
      </w:r>
      <w:r>
        <w:rPr>
          <w:lang w:val="fr-CA"/>
        </w:rPr>
        <w:t>de façon plus ciblée, à l’échelle locale plutôt que régionale ou provinciale</w:t>
      </w:r>
      <w:r w:rsidRPr="001F52BA">
        <w:rPr>
          <w:lang w:val="fr-CA"/>
        </w:rPr>
        <w:t>.</w:t>
      </w:r>
      <w:r>
        <w:rPr>
          <w:lang w:val="fr-CA"/>
        </w:rPr>
        <w:t xml:space="preserve"> En définitive</w:t>
      </w:r>
      <w:r w:rsidRPr="001F52BA">
        <w:rPr>
          <w:lang w:val="fr-CA"/>
        </w:rPr>
        <w:t>,</w:t>
      </w:r>
      <w:r>
        <w:rPr>
          <w:lang w:val="fr-CA"/>
        </w:rPr>
        <w:t xml:space="preserve"> ils</w:t>
      </w:r>
      <w:r w:rsidRPr="001F52BA">
        <w:rPr>
          <w:lang w:val="fr-CA"/>
        </w:rPr>
        <w:t xml:space="preserve"> </w:t>
      </w:r>
      <w:r>
        <w:rPr>
          <w:lang w:val="fr-CA"/>
        </w:rPr>
        <w:t>s’inquiétaient surtout d’une nouvelle détérioration de l’économie, de la santé mentale des gens et de la situation financière de ceux qui ont perdu un emploi à cause de la pandémie</w:t>
      </w:r>
      <w:r w:rsidRPr="001F52BA">
        <w:rPr>
          <w:lang w:val="fr-CA"/>
        </w:rPr>
        <w:t xml:space="preserve">. </w:t>
      </w:r>
    </w:p>
    <w:p w14:paraId="039B7632" w14:textId="77777777" w:rsidR="00CA41A3" w:rsidRPr="001F52BA" w:rsidRDefault="00CA41A3" w:rsidP="00CA41A3">
      <w:pPr>
        <w:pStyle w:val="Heading3"/>
        <w:rPr>
          <w:lang w:val="fr-CA"/>
        </w:rPr>
      </w:pPr>
      <w:r w:rsidRPr="001F52BA">
        <w:rPr>
          <w:lang w:val="fr-CA"/>
        </w:rPr>
        <w:t>Impact</w:t>
      </w:r>
      <w:r>
        <w:rPr>
          <w:lang w:val="fr-CA"/>
        </w:rPr>
        <w:t>s</w:t>
      </w:r>
      <w:r w:rsidRPr="001F52BA">
        <w:rPr>
          <w:lang w:val="fr-CA"/>
        </w:rPr>
        <w:t xml:space="preserve"> </w:t>
      </w:r>
      <w:r>
        <w:rPr>
          <w:lang w:val="fr-CA"/>
        </w:rPr>
        <w:t>de la</w:t>
      </w:r>
      <w:r w:rsidRPr="001F52BA">
        <w:rPr>
          <w:lang w:val="fr-CA"/>
        </w:rPr>
        <w:t xml:space="preserve"> COVID-19</w:t>
      </w:r>
    </w:p>
    <w:p w14:paraId="7E120BF7" w14:textId="77777777" w:rsidR="00CA41A3" w:rsidRPr="001F52BA" w:rsidRDefault="00CA41A3" w:rsidP="00CA41A3">
      <w:pPr>
        <w:rPr>
          <w:lang w:val="fr-CA"/>
        </w:rPr>
      </w:pPr>
      <w:r>
        <w:rPr>
          <w:lang w:val="fr-CA"/>
        </w:rPr>
        <w:t>Comme on l’a vu</w:t>
      </w:r>
      <w:r w:rsidRPr="001F52BA">
        <w:rPr>
          <w:lang w:val="fr-CA"/>
        </w:rPr>
        <w:t>,</w:t>
      </w:r>
      <w:r>
        <w:rPr>
          <w:lang w:val="fr-CA"/>
        </w:rPr>
        <w:t xml:space="preserve"> les</w:t>
      </w:r>
      <w:r w:rsidRPr="001F52BA">
        <w:rPr>
          <w:lang w:val="fr-CA"/>
        </w:rPr>
        <w:t xml:space="preserve"> participants </w:t>
      </w:r>
      <w:r>
        <w:rPr>
          <w:lang w:val="fr-CA"/>
        </w:rPr>
        <w:t>appréhendaient les conséquences de la COVID-19</w:t>
      </w:r>
      <w:r w:rsidRPr="001F52BA">
        <w:rPr>
          <w:lang w:val="fr-CA"/>
        </w:rPr>
        <w:t xml:space="preserve"> </w:t>
      </w:r>
      <w:r>
        <w:rPr>
          <w:lang w:val="fr-CA"/>
        </w:rPr>
        <w:t>sur leur vie personnelle et familiale, les communautés et les entreprises, d’autant plus que l’hiver approchait et qu’une deuxième vague semblait inéluctable au Canada</w:t>
      </w:r>
      <w:r w:rsidRPr="001F52BA">
        <w:rPr>
          <w:lang w:val="fr-CA"/>
        </w:rPr>
        <w:t>.</w:t>
      </w:r>
      <w:r>
        <w:rPr>
          <w:lang w:val="fr-CA"/>
        </w:rPr>
        <w:t xml:space="preserve"> Ils ont évoqué les effets de la pandémie et des comportements recommandés par la santé publique sur les familles, les jeunes enfants et les</w:t>
      </w:r>
      <w:r w:rsidRPr="001F52BA">
        <w:rPr>
          <w:lang w:val="fr-CA"/>
        </w:rPr>
        <w:t xml:space="preserve"> </w:t>
      </w:r>
      <w:r>
        <w:rPr>
          <w:lang w:val="fr-CA"/>
        </w:rPr>
        <w:t>aînés</w:t>
      </w:r>
      <w:r w:rsidRPr="001F52BA">
        <w:rPr>
          <w:lang w:val="fr-CA"/>
        </w:rPr>
        <w:t>.</w:t>
      </w:r>
      <w:r>
        <w:rPr>
          <w:lang w:val="fr-CA"/>
        </w:rPr>
        <w:t xml:space="preserve"> Les répercussions psychologiques du manque de compagnie et d’interactions sociales venaient au premier rang des préoccupations</w:t>
      </w:r>
      <w:r w:rsidRPr="001F52BA">
        <w:rPr>
          <w:lang w:val="fr-CA"/>
        </w:rPr>
        <w:t>.</w:t>
      </w:r>
      <w:r>
        <w:rPr>
          <w:lang w:val="fr-CA"/>
        </w:rPr>
        <w:t xml:space="preserve"> Beaucoup s’inquiétaient des effets induits par l’isolement prolongé et s’attendaient à ce que la solitude, conjuguée à l’insécurité financière,</w:t>
      </w:r>
      <w:r w:rsidRPr="001F52BA">
        <w:rPr>
          <w:lang w:val="fr-CA"/>
        </w:rPr>
        <w:t xml:space="preserve"> </w:t>
      </w:r>
      <w:r>
        <w:rPr>
          <w:lang w:val="fr-CA"/>
        </w:rPr>
        <w:t xml:space="preserve">augmente le nombre de personnes aux prises avec divers problèmes de santé mentale, y compris la </w:t>
      </w:r>
      <w:r w:rsidRPr="001F52BA">
        <w:rPr>
          <w:lang w:val="fr-CA"/>
        </w:rPr>
        <w:t>d</w:t>
      </w:r>
      <w:r>
        <w:rPr>
          <w:lang w:val="fr-CA"/>
        </w:rPr>
        <w:t>é</w:t>
      </w:r>
      <w:r w:rsidRPr="001F52BA">
        <w:rPr>
          <w:lang w:val="fr-CA"/>
        </w:rPr>
        <w:t xml:space="preserve">pression </w:t>
      </w:r>
      <w:r>
        <w:rPr>
          <w:lang w:val="fr-CA"/>
        </w:rPr>
        <w:t xml:space="preserve">et l’idéation </w:t>
      </w:r>
      <w:r>
        <w:rPr>
          <w:lang w:val="fr-CA"/>
        </w:rPr>
        <w:lastRenderedPageBreak/>
        <w:t>suicidaire</w:t>
      </w:r>
      <w:r w:rsidRPr="001F52BA">
        <w:rPr>
          <w:lang w:val="fr-CA"/>
        </w:rPr>
        <w:t>.</w:t>
      </w:r>
      <w:r>
        <w:rPr>
          <w:lang w:val="fr-CA"/>
        </w:rPr>
        <w:t xml:space="preserve"> L’augmentation du nombre de cas de violence conjugale a également été soulevée</w:t>
      </w:r>
      <w:r w:rsidRPr="001F52BA">
        <w:rPr>
          <w:lang w:val="fr-CA"/>
        </w:rPr>
        <w:t>.</w:t>
      </w:r>
      <w:r>
        <w:rPr>
          <w:lang w:val="fr-CA"/>
        </w:rPr>
        <w:t xml:space="preserve"> De l’avis des p</w:t>
      </w:r>
      <w:r w:rsidRPr="001F52BA">
        <w:rPr>
          <w:lang w:val="fr-CA"/>
        </w:rPr>
        <w:t>articipants</w:t>
      </w:r>
      <w:r>
        <w:rPr>
          <w:lang w:val="fr-CA"/>
        </w:rPr>
        <w:t>, l’accès à des services de santé mentale et à des soutiens</w:t>
      </w:r>
      <w:r w:rsidRPr="001F52BA">
        <w:rPr>
          <w:lang w:val="fr-CA"/>
        </w:rPr>
        <w:t xml:space="preserve"> </w:t>
      </w:r>
      <w:r>
        <w:rPr>
          <w:lang w:val="fr-CA"/>
        </w:rPr>
        <w:t>deviendrait vital pour surmonter ces problèmes ainsi que pour aider les particuliers et les familles en deuil</w:t>
      </w:r>
      <w:r w:rsidRPr="001F52BA">
        <w:rPr>
          <w:lang w:val="fr-CA"/>
        </w:rPr>
        <w:t>.</w:t>
      </w:r>
      <w:r>
        <w:rPr>
          <w:lang w:val="fr-CA"/>
        </w:rPr>
        <w:t xml:space="preserve"> Outre cela</w:t>
      </w:r>
      <w:r w:rsidRPr="001F52BA">
        <w:rPr>
          <w:lang w:val="fr-CA"/>
        </w:rPr>
        <w:t xml:space="preserve">, </w:t>
      </w:r>
      <w:r>
        <w:rPr>
          <w:lang w:val="fr-CA"/>
        </w:rPr>
        <w:t>ils</w:t>
      </w:r>
      <w:r w:rsidRPr="001F52BA">
        <w:rPr>
          <w:lang w:val="fr-CA"/>
        </w:rPr>
        <w:t xml:space="preserve"> </w:t>
      </w:r>
      <w:r>
        <w:rPr>
          <w:lang w:val="fr-CA"/>
        </w:rPr>
        <w:t>se désolaient également pour les entreprises, en particulier celles de petite taille, et n’étaient guère optimistes quant à leurs chances de survivre à de nouveaux cycles d’ouverture et de fermeture</w:t>
      </w:r>
      <w:r w:rsidRPr="001F52BA">
        <w:rPr>
          <w:lang w:val="fr-CA"/>
        </w:rPr>
        <w:t>.</w:t>
      </w:r>
      <w:r>
        <w:rPr>
          <w:lang w:val="fr-CA"/>
        </w:rPr>
        <w:t xml:space="preserve"> En général, les</w:t>
      </w:r>
      <w:r w:rsidRPr="001F52BA">
        <w:rPr>
          <w:lang w:val="fr-CA"/>
        </w:rPr>
        <w:t xml:space="preserve"> participants </w:t>
      </w:r>
      <w:r>
        <w:rPr>
          <w:lang w:val="fr-CA"/>
        </w:rPr>
        <w:t>souffraient de ce qu’ils ont décrit comme un manque de liberté</w:t>
      </w:r>
      <w:r w:rsidRPr="001F52BA">
        <w:rPr>
          <w:lang w:val="fr-CA"/>
        </w:rPr>
        <w:t>.</w:t>
      </w:r>
      <w:r>
        <w:rPr>
          <w:lang w:val="fr-CA"/>
        </w:rPr>
        <w:t xml:space="preserve"> S’ils</w:t>
      </w:r>
      <w:r w:rsidRPr="001F52BA">
        <w:rPr>
          <w:lang w:val="fr-CA"/>
        </w:rPr>
        <w:t xml:space="preserve"> </w:t>
      </w:r>
      <w:r>
        <w:rPr>
          <w:lang w:val="fr-CA"/>
        </w:rPr>
        <w:t>semblaient prêts à suivre les recommandations sanitaires,</w:t>
      </w:r>
      <w:r w:rsidRPr="001F52BA">
        <w:rPr>
          <w:lang w:val="fr-CA"/>
        </w:rPr>
        <w:t xml:space="preserve"> </w:t>
      </w:r>
      <w:r>
        <w:rPr>
          <w:lang w:val="fr-CA"/>
        </w:rPr>
        <w:t>certains ont reconnu la difficulté que cela poserait dans l’optique de la santé mentale</w:t>
      </w:r>
      <w:r w:rsidRPr="001F52BA">
        <w:rPr>
          <w:lang w:val="fr-CA"/>
        </w:rPr>
        <w:t>.</w:t>
      </w:r>
    </w:p>
    <w:p w14:paraId="1561FE97" w14:textId="77777777" w:rsidR="00CA41A3" w:rsidRPr="001F52BA" w:rsidRDefault="00CA41A3" w:rsidP="00CA41A3">
      <w:pPr>
        <w:pStyle w:val="Heading2"/>
        <w:rPr>
          <w:lang w:val="fr-CA"/>
        </w:rPr>
      </w:pPr>
      <w:bookmarkStart w:id="20" w:name="_Toc58091214"/>
      <w:r w:rsidRPr="001F52BA">
        <w:rPr>
          <w:lang w:val="fr-CA"/>
        </w:rPr>
        <w:t xml:space="preserve">Soutiens financiers (Nouvelle-Écosse, Canadiens </w:t>
      </w:r>
      <w:proofErr w:type="spellStart"/>
      <w:r w:rsidRPr="001F52BA">
        <w:rPr>
          <w:lang w:val="fr-CA"/>
        </w:rPr>
        <w:t>racialisés</w:t>
      </w:r>
      <w:proofErr w:type="spellEnd"/>
      <w:r w:rsidRPr="001F52BA">
        <w:rPr>
          <w:lang w:val="fr-CA"/>
        </w:rPr>
        <w:t xml:space="preserve"> de la GRM, bénéficiaires de l’AE ou de prestations de relance habitant de grandes villes ou des villes de taille moyenne de l’Ontario, nord de l’Alberta, Manitoba, Yellowknife, bénéficiaires de l’AE ou de prestations de relance habitant des villes de taille moyenne du Québec)</w:t>
      </w:r>
      <w:bookmarkEnd w:id="18"/>
      <w:bookmarkEnd w:id="19"/>
      <w:bookmarkEnd w:id="20"/>
      <w:r w:rsidRPr="001F52BA">
        <w:rPr>
          <w:lang w:val="fr-CA"/>
        </w:rPr>
        <w:t xml:space="preserve"> </w:t>
      </w:r>
    </w:p>
    <w:p w14:paraId="6B70A412" w14:textId="77777777" w:rsidR="00CA41A3" w:rsidRPr="001F52BA" w:rsidRDefault="00CA41A3" w:rsidP="00CA41A3">
      <w:pPr>
        <w:rPr>
          <w:lang w:val="fr-CA"/>
        </w:rPr>
      </w:pPr>
      <w:bookmarkStart w:id="21" w:name="_Hlk65073392"/>
      <w:r>
        <w:rPr>
          <w:lang w:val="fr-CA"/>
        </w:rPr>
        <w:t>Le 27 septembre</w:t>
      </w:r>
      <w:r w:rsidRPr="001F52BA">
        <w:rPr>
          <w:lang w:val="fr-CA"/>
        </w:rPr>
        <w:t xml:space="preserve"> 2020, </w:t>
      </w:r>
      <w:r>
        <w:rPr>
          <w:lang w:val="fr-CA"/>
        </w:rPr>
        <w:t>le gouvernement du Canada</w:t>
      </w:r>
      <w:r w:rsidRPr="001F52BA">
        <w:rPr>
          <w:lang w:val="fr-CA"/>
        </w:rPr>
        <w:t xml:space="preserve"> </w:t>
      </w:r>
      <w:r>
        <w:rPr>
          <w:lang w:val="fr-CA"/>
        </w:rPr>
        <w:t>a lancé la transition de la Prestation canadienne d’urgence (PCU) à un régime d’assurance-emploi simplifié,</w:t>
      </w:r>
      <w:r w:rsidRPr="001F52BA">
        <w:rPr>
          <w:lang w:val="fr-CA"/>
        </w:rPr>
        <w:t xml:space="preserve"> </w:t>
      </w:r>
      <w:r>
        <w:rPr>
          <w:lang w:val="fr-CA"/>
        </w:rPr>
        <w:t>afin de continuer d’offrir un soutien au revenu aux Canadiens</w:t>
      </w:r>
      <w:r w:rsidRPr="001F52BA">
        <w:rPr>
          <w:lang w:val="fr-CA"/>
        </w:rPr>
        <w:t xml:space="preserve"> </w:t>
      </w:r>
      <w:r>
        <w:rPr>
          <w:lang w:val="fr-CA"/>
        </w:rPr>
        <w:t>qui ne sont pas en mesure de travailler à cause de la COVID-19 et qui sont admissibles à une série de prestations de relance temporaires</w:t>
      </w:r>
      <w:bookmarkEnd w:id="21"/>
      <w:r w:rsidRPr="001F52BA">
        <w:rPr>
          <w:lang w:val="fr-CA"/>
        </w:rPr>
        <w:t>.</w:t>
      </w:r>
      <w:r>
        <w:rPr>
          <w:lang w:val="fr-CA"/>
        </w:rPr>
        <w:t xml:space="preserve"> Dans les groupes de discussion énumérés ci-dessus, nous avons sondé le niveau de connaissances et l’opinion des participants au sujet des prestations de relance</w:t>
      </w:r>
      <w:r w:rsidRPr="001F52BA">
        <w:rPr>
          <w:lang w:val="fr-CA"/>
        </w:rPr>
        <w:t>.</w:t>
      </w:r>
    </w:p>
    <w:p w14:paraId="5B532FBD" w14:textId="77777777" w:rsidR="00CA41A3" w:rsidRPr="001F52BA" w:rsidRDefault="00CA41A3" w:rsidP="00CA41A3">
      <w:pPr>
        <w:rPr>
          <w:lang w:val="fr-CA"/>
        </w:rPr>
      </w:pPr>
      <w:r>
        <w:rPr>
          <w:lang w:val="fr-CA"/>
        </w:rPr>
        <w:t>De nombreux</w:t>
      </w:r>
      <w:r w:rsidRPr="001F52BA">
        <w:rPr>
          <w:lang w:val="fr-CA"/>
        </w:rPr>
        <w:t xml:space="preserve"> participants </w:t>
      </w:r>
      <w:r>
        <w:rPr>
          <w:lang w:val="fr-CA"/>
        </w:rPr>
        <w:t>savaient que la Prestation canadienne d’urgence (PCU) touchait à sa fin et que ses bénéficiaires</w:t>
      </w:r>
      <w:r w:rsidRPr="001F52BA">
        <w:rPr>
          <w:lang w:val="fr-CA"/>
        </w:rPr>
        <w:t xml:space="preserve"> </w:t>
      </w:r>
      <w:r>
        <w:rPr>
          <w:lang w:val="fr-CA"/>
        </w:rPr>
        <w:t>actuels seraient automatiquement transférés vers l’assurance-emploi</w:t>
      </w:r>
      <w:r w:rsidRPr="001F52BA">
        <w:rPr>
          <w:lang w:val="fr-CA"/>
        </w:rPr>
        <w:t>.</w:t>
      </w:r>
      <w:r>
        <w:rPr>
          <w:lang w:val="fr-CA"/>
        </w:rPr>
        <w:t xml:space="preserve"> Dans l’ensemble</w:t>
      </w:r>
      <w:r w:rsidRPr="001F52BA">
        <w:rPr>
          <w:lang w:val="fr-CA"/>
        </w:rPr>
        <w:t>,</w:t>
      </w:r>
      <w:r>
        <w:rPr>
          <w:lang w:val="fr-CA"/>
        </w:rPr>
        <w:t xml:space="preserve"> les</w:t>
      </w:r>
      <w:r w:rsidRPr="001F52BA">
        <w:rPr>
          <w:lang w:val="fr-CA"/>
        </w:rPr>
        <w:t xml:space="preserve"> participants </w:t>
      </w:r>
      <w:r>
        <w:rPr>
          <w:lang w:val="fr-CA"/>
        </w:rPr>
        <w:t>reconnaissaient l’utilité de la PCU</w:t>
      </w:r>
      <w:r w:rsidRPr="001F52BA">
        <w:rPr>
          <w:lang w:val="fr-CA"/>
        </w:rPr>
        <w:t xml:space="preserve"> </w:t>
      </w:r>
      <w:r>
        <w:rPr>
          <w:lang w:val="fr-CA"/>
        </w:rPr>
        <w:t>et certains</w:t>
      </w:r>
      <w:r w:rsidRPr="001F52BA">
        <w:rPr>
          <w:lang w:val="fr-CA"/>
        </w:rPr>
        <w:t xml:space="preserve"> </w:t>
      </w:r>
      <w:r>
        <w:rPr>
          <w:lang w:val="fr-CA"/>
        </w:rPr>
        <w:t>ont confirmé que les personnes ayant touché la PCU devraient rester admissibles aux prestations</w:t>
      </w:r>
      <w:r w:rsidRPr="001F52BA">
        <w:rPr>
          <w:lang w:val="fr-CA"/>
        </w:rPr>
        <w:t>.</w:t>
      </w:r>
      <w:r>
        <w:rPr>
          <w:lang w:val="fr-CA"/>
        </w:rPr>
        <w:t xml:space="preserve"> L’accessibilité de l’assurance-emploi et de la nouvelle série de prestations de relance à de nouveaux groupes (p. ex., les</w:t>
      </w:r>
      <w:r w:rsidRPr="001F52BA">
        <w:rPr>
          <w:lang w:val="fr-CA"/>
        </w:rPr>
        <w:t xml:space="preserve"> </w:t>
      </w:r>
      <w:r>
        <w:rPr>
          <w:lang w:val="fr-CA"/>
        </w:rPr>
        <w:t>propriétaires de petites entreprises, les travailleurs saisonniers) était également vue d’un bon œil</w:t>
      </w:r>
      <w:r w:rsidRPr="001F52BA">
        <w:rPr>
          <w:lang w:val="fr-CA"/>
        </w:rPr>
        <w:t>.</w:t>
      </w:r>
    </w:p>
    <w:p w14:paraId="215B4067" w14:textId="77777777" w:rsidR="00CA41A3" w:rsidRPr="001F52BA" w:rsidRDefault="00CA41A3" w:rsidP="00CA41A3">
      <w:pPr>
        <w:rPr>
          <w:lang w:val="fr-CA"/>
        </w:rPr>
      </w:pPr>
      <w:r>
        <w:rPr>
          <w:lang w:val="fr-CA"/>
        </w:rPr>
        <w:t>Nous avons mené une discussion plus approfondie sur les trois</w:t>
      </w:r>
      <w:r w:rsidRPr="001F52BA">
        <w:rPr>
          <w:lang w:val="fr-CA"/>
        </w:rPr>
        <w:t xml:space="preserve"> </w:t>
      </w:r>
      <w:r>
        <w:rPr>
          <w:lang w:val="fr-CA"/>
        </w:rPr>
        <w:t>prestations de relance</w:t>
      </w:r>
      <w:r w:rsidRPr="001F52BA">
        <w:rPr>
          <w:lang w:val="fr-CA"/>
        </w:rPr>
        <w:t xml:space="preserve"> –</w:t>
      </w:r>
      <w:r>
        <w:rPr>
          <w:lang w:val="fr-CA"/>
        </w:rPr>
        <w:t xml:space="preserve"> la</w:t>
      </w:r>
      <w:r w:rsidRPr="001F52BA">
        <w:rPr>
          <w:lang w:val="fr-CA"/>
        </w:rPr>
        <w:t xml:space="preserve"> </w:t>
      </w:r>
      <w:r w:rsidRPr="00773B31">
        <w:rPr>
          <w:rFonts w:eastAsia="Times New Roman"/>
          <w:iCs/>
          <w:lang w:val="fr-CA"/>
        </w:rPr>
        <w:t>Prestation canadienne de la relance économique</w:t>
      </w:r>
      <w:r>
        <w:rPr>
          <w:rFonts w:eastAsia="Times New Roman"/>
          <w:iCs/>
          <w:lang w:val="fr-CA"/>
        </w:rPr>
        <w:t>, la</w:t>
      </w:r>
      <w:r w:rsidRPr="00773B31">
        <w:rPr>
          <w:iCs/>
          <w:lang w:val="fr-CA"/>
        </w:rPr>
        <w:t xml:space="preserve"> </w:t>
      </w:r>
      <w:r w:rsidRPr="00773B31">
        <w:rPr>
          <w:rFonts w:eastAsia="Times New Roman"/>
          <w:iCs/>
          <w:lang w:val="fr-CA"/>
        </w:rPr>
        <w:t>Prestation canadienne de relance économique pour proches aidants</w:t>
      </w:r>
      <w:r w:rsidRPr="00773B31">
        <w:rPr>
          <w:rFonts w:eastAsia="Times New Roman"/>
          <w:b/>
          <w:bCs/>
          <w:iCs/>
          <w:lang w:val="fr-CA"/>
        </w:rPr>
        <w:t xml:space="preserve"> </w:t>
      </w:r>
      <w:r w:rsidRPr="00773B31">
        <w:rPr>
          <w:rFonts w:eastAsia="Times New Roman"/>
          <w:iCs/>
          <w:lang w:val="fr-CA"/>
        </w:rPr>
        <w:t xml:space="preserve">et </w:t>
      </w:r>
      <w:r>
        <w:rPr>
          <w:rFonts w:eastAsia="Times New Roman"/>
          <w:iCs/>
          <w:lang w:val="fr-CA"/>
        </w:rPr>
        <w:t>l</w:t>
      </w:r>
      <w:r w:rsidRPr="00773B31">
        <w:rPr>
          <w:rFonts w:eastAsia="Times New Roman"/>
          <w:iCs/>
          <w:lang w:val="fr-CA"/>
        </w:rPr>
        <w:t xml:space="preserve">a Prestation canadienne de maladie </w:t>
      </w:r>
      <w:r>
        <w:rPr>
          <w:iCs/>
          <w:lang w:val="fr-CA"/>
        </w:rPr>
        <w:t>pour la relance économique</w:t>
      </w:r>
      <w:r w:rsidRPr="001F52BA">
        <w:rPr>
          <w:lang w:val="fr-CA"/>
        </w:rPr>
        <w:t xml:space="preserve"> – </w:t>
      </w:r>
      <w:r>
        <w:rPr>
          <w:lang w:val="fr-CA"/>
        </w:rPr>
        <w:t>après avoir fourni aux groupes une description sommaire de ces programmes</w:t>
      </w:r>
      <w:r w:rsidRPr="001F52BA">
        <w:rPr>
          <w:lang w:val="fr-CA"/>
        </w:rPr>
        <w:t xml:space="preserve">. </w:t>
      </w:r>
      <w:r>
        <w:rPr>
          <w:lang w:val="fr-CA"/>
        </w:rPr>
        <w:t>Sauf rares exceptions,</w:t>
      </w:r>
      <w:r w:rsidRPr="00773B31">
        <w:rPr>
          <w:lang w:val="fr-CA"/>
        </w:rPr>
        <w:t xml:space="preserve"> </w:t>
      </w:r>
      <w:r>
        <w:rPr>
          <w:lang w:val="fr-CA"/>
        </w:rPr>
        <w:t xml:space="preserve">les </w:t>
      </w:r>
      <w:r w:rsidRPr="001F52BA">
        <w:rPr>
          <w:lang w:val="fr-CA"/>
        </w:rPr>
        <w:t xml:space="preserve">participants </w:t>
      </w:r>
      <w:r>
        <w:rPr>
          <w:lang w:val="fr-CA"/>
        </w:rPr>
        <w:t>étaient en faveur du régime d’assurance-emploi simplifié et des nouvelles prestations</w:t>
      </w:r>
      <w:r w:rsidRPr="001F52BA">
        <w:rPr>
          <w:lang w:val="fr-CA"/>
        </w:rPr>
        <w:t>.</w:t>
      </w:r>
      <w:r>
        <w:rPr>
          <w:lang w:val="fr-CA"/>
        </w:rPr>
        <w:t xml:space="preserve"> Les programmes leur semblaient simples et bien expliqués</w:t>
      </w:r>
      <w:r w:rsidRPr="001F52BA">
        <w:rPr>
          <w:lang w:val="fr-CA"/>
        </w:rPr>
        <w:t>.</w:t>
      </w:r>
      <w:r>
        <w:rPr>
          <w:lang w:val="fr-CA"/>
        </w:rPr>
        <w:t xml:space="preserve"> Les prestations destinées aux proches aidants et aux personnes qui n’ont pas de congés de maladie payés</w:t>
      </w:r>
      <w:r w:rsidRPr="001F52BA">
        <w:rPr>
          <w:lang w:val="fr-CA"/>
        </w:rPr>
        <w:t xml:space="preserve"> </w:t>
      </w:r>
      <w:r>
        <w:rPr>
          <w:lang w:val="fr-CA"/>
        </w:rPr>
        <w:t>revêtaient encore plus de valeur à leurs yeux</w:t>
      </w:r>
      <w:r w:rsidRPr="001F52BA">
        <w:rPr>
          <w:lang w:val="fr-CA"/>
        </w:rPr>
        <w:t>.</w:t>
      </w:r>
      <w:r>
        <w:rPr>
          <w:lang w:val="fr-CA"/>
        </w:rPr>
        <w:t xml:space="preserve"> Les quelques critiques soulevées concernaient le fait que le montant des prestations ne tient pas compte des différences régionales sur le plan du coût de la vie</w:t>
      </w:r>
      <w:r w:rsidRPr="001F52BA">
        <w:rPr>
          <w:lang w:val="fr-CA"/>
        </w:rPr>
        <w:t xml:space="preserve"> </w:t>
      </w:r>
      <w:r>
        <w:rPr>
          <w:lang w:val="fr-CA"/>
        </w:rPr>
        <w:t>ni de la taille ou des dépenses des ménages</w:t>
      </w:r>
      <w:r w:rsidRPr="001F52BA">
        <w:rPr>
          <w:lang w:val="fr-CA"/>
        </w:rPr>
        <w:t>.</w:t>
      </w:r>
      <w:r>
        <w:rPr>
          <w:lang w:val="fr-CA"/>
        </w:rPr>
        <w:t xml:space="preserve"> Il a également été question de certains segments de la population qui étaient laissés de côté, par exemple : les jeunes, les aînés, les travailleurs canadiens à faible revenu</w:t>
      </w:r>
      <w:r w:rsidRPr="001F52BA">
        <w:rPr>
          <w:lang w:val="fr-CA"/>
        </w:rPr>
        <w:t>,</w:t>
      </w:r>
      <w:r>
        <w:rPr>
          <w:lang w:val="fr-CA"/>
        </w:rPr>
        <w:t xml:space="preserve"> les personnes qui ne sont pas en mesure d’accumuler le nombre d’heures requises</w:t>
      </w:r>
      <w:r w:rsidRPr="001F52BA">
        <w:rPr>
          <w:lang w:val="fr-CA"/>
        </w:rPr>
        <w:t>,</w:t>
      </w:r>
      <w:r>
        <w:rPr>
          <w:lang w:val="fr-CA"/>
        </w:rPr>
        <w:t xml:space="preserve"> les travailleurs étrangers et les groupes marginalisés (p. ex. les sans-abri</w:t>
      </w:r>
      <w:r w:rsidRPr="001F52BA">
        <w:rPr>
          <w:lang w:val="fr-CA"/>
        </w:rPr>
        <w:t>).</w:t>
      </w:r>
      <w:r>
        <w:rPr>
          <w:lang w:val="fr-CA"/>
        </w:rPr>
        <w:t xml:space="preserve"> </w:t>
      </w:r>
    </w:p>
    <w:p w14:paraId="44C2619F" w14:textId="77777777" w:rsidR="00CA41A3" w:rsidRPr="001F52BA" w:rsidRDefault="00CA41A3" w:rsidP="00CA41A3">
      <w:pPr>
        <w:rPr>
          <w:lang w:val="fr-CA"/>
        </w:rPr>
      </w:pPr>
      <w:r>
        <w:rPr>
          <w:lang w:val="fr-CA"/>
        </w:rPr>
        <w:t>En ce qui concerne la durée souhaitable de ces prestations, la plupart des</w:t>
      </w:r>
      <w:r w:rsidRPr="001F52BA">
        <w:rPr>
          <w:lang w:val="fr-CA"/>
        </w:rPr>
        <w:t xml:space="preserve"> participants </w:t>
      </w:r>
      <w:r>
        <w:rPr>
          <w:lang w:val="fr-CA"/>
        </w:rPr>
        <w:t xml:space="preserve">estimaient qu’elles seraient nécessaires pendant au moins plusieurs mois ou jusqu’à ce que la menace de la </w:t>
      </w:r>
      <w:r>
        <w:rPr>
          <w:lang w:val="fr-CA"/>
        </w:rPr>
        <w:lastRenderedPageBreak/>
        <w:t>pandémie se soit dissipée et que l’économie ait amorcé son rétablissement</w:t>
      </w:r>
      <w:r w:rsidRPr="001F52BA">
        <w:rPr>
          <w:lang w:val="fr-CA"/>
        </w:rPr>
        <w:t xml:space="preserve">. </w:t>
      </w:r>
      <w:r>
        <w:rPr>
          <w:lang w:val="fr-CA"/>
        </w:rPr>
        <w:t>Lorsque nous leur avons demandé si un délai d’un an leur paraissait raisonnable, ils ont généralement répondu par l’affirmative, au motif que ces programmes sont des stimulants économiques</w:t>
      </w:r>
      <w:r w:rsidRPr="001F52BA">
        <w:rPr>
          <w:lang w:val="fr-CA"/>
        </w:rPr>
        <w:t xml:space="preserve"> </w:t>
      </w:r>
      <w:r>
        <w:rPr>
          <w:lang w:val="fr-CA"/>
        </w:rPr>
        <w:t>indispensables</w:t>
      </w:r>
      <w:r w:rsidRPr="001F52BA">
        <w:rPr>
          <w:lang w:val="fr-CA"/>
        </w:rPr>
        <w:t>.</w:t>
      </w:r>
      <w:r>
        <w:rPr>
          <w:lang w:val="fr-CA"/>
        </w:rPr>
        <w:t xml:space="preserve"> </w:t>
      </w:r>
    </w:p>
    <w:p w14:paraId="7027DF0F" w14:textId="77777777" w:rsidR="00CA41A3" w:rsidRPr="003D4CF7" w:rsidRDefault="00CA41A3" w:rsidP="00CA41A3">
      <w:pPr>
        <w:rPr>
          <w:lang w:val="fr-CA"/>
        </w:rPr>
      </w:pPr>
      <w:r>
        <w:rPr>
          <w:lang w:val="fr-CA"/>
        </w:rPr>
        <w:t>Pour terminer</w:t>
      </w:r>
      <w:r w:rsidRPr="001F52BA">
        <w:rPr>
          <w:lang w:val="fr-CA"/>
        </w:rPr>
        <w:t>,</w:t>
      </w:r>
      <w:r>
        <w:rPr>
          <w:lang w:val="fr-CA"/>
        </w:rPr>
        <w:t xml:space="preserve"> nous avons indiqué aux</w:t>
      </w:r>
      <w:r w:rsidRPr="001F52BA">
        <w:rPr>
          <w:lang w:val="fr-CA"/>
        </w:rPr>
        <w:t xml:space="preserve"> participants </w:t>
      </w:r>
      <w:r>
        <w:rPr>
          <w:lang w:val="fr-CA"/>
        </w:rPr>
        <w:t>que sous l’ancien régime, les prestations d’assurance-emploi constituaient un revenu imposable</w:t>
      </w:r>
      <w:r w:rsidRPr="001F52BA">
        <w:rPr>
          <w:lang w:val="fr-CA"/>
        </w:rPr>
        <w:t>.</w:t>
      </w:r>
      <w:r>
        <w:rPr>
          <w:lang w:val="fr-CA"/>
        </w:rPr>
        <w:t xml:space="preserve"> La question de savoir si c’était également le cas pour le régime d’assurance-emploi simplifié et les nouvelles prestations de relance a suscité une certaine confusion, mais la plupart des participants ont supposé que ces prestations seraient imposables</w:t>
      </w:r>
      <w:r w:rsidRPr="001F52BA">
        <w:rPr>
          <w:lang w:val="fr-CA"/>
        </w:rPr>
        <w:t>.</w:t>
      </w:r>
    </w:p>
    <w:p w14:paraId="44A53B89" w14:textId="77777777" w:rsidR="00CA41A3" w:rsidRPr="001B1235" w:rsidRDefault="00CA41A3" w:rsidP="00CA41A3">
      <w:pPr>
        <w:pStyle w:val="Heading2"/>
        <w:rPr>
          <w:lang w:val="fr-CA"/>
        </w:rPr>
      </w:pPr>
      <w:bookmarkStart w:id="22" w:name="_Toc58091215"/>
      <w:bookmarkStart w:id="23" w:name="_Toc42591968"/>
      <w:bookmarkEnd w:id="12"/>
      <w:bookmarkEnd w:id="13"/>
      <w:r w:rsidRPr="001B1235">
        <w:rPr>
          <w:lang w:val="fr-CA"/>
        </w:rPr>
        <w:t xml:space="preserve">Évaluation de concepts publicitaires (Canadiens </w:t>
      </w:r>
      <w:proofErr w:type="spellStart"/>
      <w:r w:rsidRPr="001B1235">
        <w:rPr>
          <w:lang w:val="fr-CA"/>
        </w:rPr>
        <w:t>racialisés</w:t>
      </w:r>
      <w:proofErr w:type="spellEnd"/>
      <w:r w:rsidRPr="001B1235">
        <w:rPr>
          <w:lang w:val="fr-CA"/>
        </w:rPr>
        <w:t xml:space="preserve"> de la RGTH, bénéficiaires de l’AE ou de prestations de relance habitant de grandes villes ou des villes de taille moyenne de l’Ontario, ville de Québec)</w:t>
      </w:r>
      <w:bookmarkEnd w:id="22"/>
      <w:r w:rsidRPr="001B1235">
        <w:rPr>
          <w:lang w:val="fr-CA"/>
        </w:rPr>
        <w:t xml:space="preserve"> </w:t>
      </w:r>
    </w:p>
    <w:p w14:paraId="11E9BEA1" w14:textId="77777777" w:rsidR="00CA41A3" w:rsidRPr="001B1235" w:rsidRDefault="00CA41A3" w:rsidP="00CA41A3">
      <w:pPr>
        <w:rPr>
          <w:lang w:val="fr-CA"/>
        </w:rPr>
      </w:pPr>
      <w:r w:rsidRPr="001B1235">
        <w:rPr>
          <w:lang w:val="fr-CA"/>
        </w:rPr>
        <w:t xml:space="preserve">Deux concepts publicitaires différents ont été évalués dans plusieurs groupes : un scénarimage d’animation et une publicité conçue pour les médias sociaux. </w:t>
      </w:r>
    </w:p>
    <w:p w14:paraId="4F42E162" w14:textId="77777777" w:rsidR="00CA41A3" w:rsidRPr="00CE7E6A" w:rsidRDefault="00CA41A3" w:rsidP="00CE7E6A">
      <w:pPr>
        <w:pStyle w:val="Heading3"/>
        <w:rPr>
          <w:lang w:val="fr-CA"/>
        </w:rPr>
      </w:pPr>
      <w:r w:rsidRPr="00CE7E6A">
        <w:rPr>
          <w:rStyle w:val="Strong"/>
          <w:b/>
          <w:bCs w:val="0"/>
          <w:lang w:val="fr-CA"/>
        </w:rPr>
        <w:t xml:space="preserve">Scénarimage d’animation sur les prestations de relance (Canadiens </w:t>
      </w:r>
      <w:proofErr w:type="spellStart"/>
      <w:r w:rsidRPr="00CE7E6A">
        <w:rPr>
          <w:rStyle w:val="Strong"/>
          <w:b/>
          <w:bCs w:val="0"/>
          <w:lang w:val="fr-CA"/>
        </w:rPr>
        <w:t>racialisés</w:t>
      </w:r>
      <w:proofErr w:type="spellEnd"/>
      <w:r w:rsidRPr="00CE7E6A">
        <w:rPr>
          <w:rStyle w:val="Strong"/>
          <w:b/>
          <w:bCs w:val="0"/>
          <w:lang w:val="fr-CA"/>
        </w:rPr>
        <w:t xml:space="preserve"> de la RGTH, bénéficiaires de l’AE ou de prestations de relance habitant de grandes villes ou des villes de taille moyenne de l’Ontario, ville de Québec) </w:t>
      </w:r>
    </w:p>
    <w:p w14:paraId="53CD3D99" w14:textId="77777777" w:rsidR="00CA41A3" w:rsidRPr="001B1235" w:rsidRDefault="00CA41A3" w:rsidP="00CA41A3">
      <w:pPr>
        <w:rPr>
          <w:lang w:val="fr-CA"/>
        </w:rPr>
      </w:pPr>
      <w:r w:rsidRPr="001B1235">
        <w:rPr>
          <w:lang w:val="fr-CA"/>
        </w:rPr>
        <w:t xml:space="preserve">Dans les trois groupes mentionnés ci-dessus, nous avons montré aux participants un scénarimage d’animation qui vise à informer la population canadienne au sujet des nouvelles prestations de relance mises en place pour soutenir les Canadiens touchés par la COVID-19. </w:t>
      </w:r>
    </w:p>
    <w:p w14:paraId="03C0FDFD" w14:textId="77777777" w:rsidR="00CA41A3" w:rsidRPr="001B1235" w:rsidRDefault="00CA41A3" w:rsidP="00CA41A3">
      <w:pPr>
        <w:rPr>
          <w:lang w:val="fr-CA"/>
        </w:rPr>
      </w:pPr>
      <w:r w:rsidRPr="001B1235">
        <w:rPr>
          <w:lang w:val="fr-CA"/>
        </w:rPr>
        <w:t>En règle générale, les participants ont évalué assez favorablement la publicité, dont ils aimaient la simplicité et la concision. De plus, le message était clair et direct et cet aspect leur plaisait. Les participants ont salué l’utilisation de l’animation, qui permettait au message de ressortir du lot. Ils étaient assez unanimes dans leur description du message principal : le gouvernement fédéral offrait des programmes d’aide financière élargis et plus exhaustifs aux Canadiens.</w:t>
      </w:r>
    </w:p>
    <w:p w14:paraId="1DDC7980" w14:textId="77777777" w:rsidR="00CA41A3" w:rsidRPr="001B1235" w:rsidRDefault="00CA41A3" w:rsidP="00CA41A3">
      <w:pPr>
        <w:rPr>
          <w:lang w:val="fr-CA"/>
        </w:rPr>
      </w:pPr>
      <w:r w:rsidRPr="001B1235">
        <w:rPr>
          <w:lang w:val="fr-CA"/>
        </w:rPr>
        <w:t xml:space="preserve">Le caractère fade ou peu réjouissant de la publicité, attribuable principalement à la palette de couleurs employée, était considéré comme le principal point faible. Les participants trouvaient la publicité trop sobre et monochrome. Ils jugeaient notamment que l’emploi du gris donnait un aspect morose, triste, voire apocalyptique à la publicité. </w:t>
      </w:r>
    </w:p>
    <w:p w14:paraId="2E2DEBE2" w14:textId="77777777" w:rsidR="00CA41A3" w:rsidRPr="001B1235" w:rsidRDefault="00CA41A3" w:rsidP="00CA41A3">
      <w:pPr>
        <w:rPr>
          <w:lang w:val="fr-CA"/>
        </w:rPr>
      </w:pPr>
      <w:r w:rsidRPr="001B1235">
        <w:rPr>
          <w:lang w:val="fr-CA"/>
        </w:rPr>
        <w:t>Invités à dire si la publicité était informative, les participants ont formulé des opinions partagées. Selon certains, elle était trop vague et ne fournissait pas assez de renseignements, en particulier sur les programmes ou la clientèle admissible. D’autres participants estimaient en revanche que la publicité devait être de courte durée et qu’elle invitait efficacement l’auditoire à consulter le site Web pour obtenir plus d’informations.</w:t>
      </w:r>
    </w:p>
    <w:p w14:paraId="32BF0269" w14:textId="77777777" w:rsidR="00CA41A3" w:rsidRPr="001B1235" w:rsidRDefault="00CA41A3" w:rsidP="00CA41A3">
      <w:pPr>
        <w:rPr>
          <w:lang w:val="fr-CA"/>
        </w:rPr>
      </w:pPr>
      <w:r w:rsidRPr="001B1235">
        <w:rPr>
          <w:lang w:val="fr-CA"/>
        </w:rPr>
        <w:t>Afin d’évaluer la compréhension du message, une série de phrases tirées de la publicité ont été examinées plus en détail. La plupart des participants aimaient la phrase </w:t>
      </w:r>
      <w:r w:rsidRPr="00CE7E6A">
        <w:rPr>
          <w:i/>
          <w:lang w:val="fr-CA"/>
        </w:rPr>
        <w:t>« Le soutien que nous offrons actuellement aux Canadiens permettra d’assurer la force et la sécurité de notre pays ».</w:t>
      </w:r>
      <w:r w:rsidRPr="001B1235">
        <w:rPr>
          <w:rStyle w:val="Emphasis"/>
          <w:color w:val="auto"/>
          <w:lang w:val="fr-CA"/>
        </w:rPr>
        <w:t xml:space="preserve"> </w:t>
      </w:r>
      <w:r w:rsidRPr="001B1235">
        <w:rPr>
          <w:lang w:val="fr-CA"/>
        </w:rPr>
        <w:t xml:space="preserve">D’après eux, elle </w:t>
      </w:r>
      <w:r w:rsidRPr="001B1235">
        <w:rPr>
          <w:lang w:val="fr-CA"/>
        </w:rPr>
        <w:lastRenderedPageBreak/>
        <w:t xml:space="preserve">était rassurante et montrait que le gouvernement du Canada soutenait les Canadiens. L’autre phrase qui leur a été présentée, </w:t>
      </w:r>
      <w:r w:rsidRPr="00CE7E6A">
        <w:rPr>
          <w:i/>
          <w:lang w:val="fr-CA"/>
        </w:rPr>
        <w:t>« Se soutenir mutuellement aujourd’hui permettrait d’assurer notre sécurité et de rendre le Canada plus résilient »,</w:t>
      </w:r>
      <w:r w:rsidRPr="001B1235">
        <w:rPr>
          <w:lang w:val="fr-CA"/>
        </w:rPr>
        <w:t xml:space="preserve"> a toutefois suscité des réactions plus mitigées. Certains la trouvaient rafraîchissante, car elle se démarquait des autres communications sur la pandémie émanant du gouvernement fédéral. D’autres lui ont réservé un accueil moins favorable, la jugeant trop longue et verbeuse. Par ailleurs, l’emploi du qualificatif « résilient » dans ce contexte a déplu à quelques participants. Tout compte fait, la plupart préféraient la première phrase. Lorsqu’on leur a demandé comment ils interprétaient la phrase </w:t>
      </w:r>
      <w:r w:rsidRPr="00CE7E6A">
        <w:rPr>
          <w:i/>
          <w:lang w:val="fr-CA"/>
        </w:rPr>
        <w:t>« un régime d’assurance-emploi élargi et plus accessible »,</w:t>
      </w:r>
      <w:r w:rsidRPr="001B1235">
        <w:rPr>
          <w:lang w:val="fr-CA"/>
        </w:rPr>
        <w:t xml:space="preserve"> tous convenaient qu’elle suggérait que l’assurance-emploi serait désormais accessible à un plus grand nombre de Canadiens, à commencer par ceux qui n’y étaient pas admissibles auparavant, comme les travailleurs autonomes.</w:t>
      </w:r>
    </w:p>
    <w:p w14:paraId="64CC50A8" w14:textId="77777777" w:rsidR="00CA41A3" w:rsidRPr="00CE7E6A" w:rsidRDefault="00CA41A3" w:rsidP="00CE7E6A">
      <w:pPr>
        <w:pStyle w:val="Heading3"/>
        <w:rPr>
          <w:lang w:val="fr-CA"/>
        </w:rPr>
      </w:pPr>
      <w:r w:rsidRPr="00CE7E6A">
        <w:rPr>
          <w:rStyle w:val="Strong"/>
          <w:b/>
          <w:bCs w:val="0"/>
          <w:lang w:val="fr-CA"/>
        </w:rPr>
        <w:t>Publicité pour les médias sociaux portant sur la Prestation canadienne de la relance économique pour proches aidants (ville de Québec)</w:t>
      </w:r>
    </w:p>
    <w:p w14:paraId="0D3F270F" w14:textId="77777777" w:rsidR="00CA41A3" w:rsidRPr="001B1235" w:rsidRDefault="00CA41A3" w:rsidP="00CA41A3">
      <w:pPr>
        <w:rPr>
          <w:lang w:val="fr-CA"/>
        </w:rPr>
      </w:pPr>
      <w:r w:rsidRPr="001B1235">
        <w:rPr>
          <w:lang w:val="fr-CA"/>
        </w:rPr>
        <w:t>Nous avons montré aux participants de la ville de Québec une publicité conçue pour les médias sociaux, puis une autre image possible (voir l’annexe C) pour recueillir leurs impressions et déterminer leurs préférences. Pratiquement tous les participants ont réagi favorablement à la version originale de la publicité conçue pour les médias. Grâce à sa clarté et à sa spécificité, elle véhiculait bien son message aux Canadiens. Toutefois, lorsque nous leur avons demandé de dire laquelle des deux images serait plus percutante dans une publicité sur la Prestation canadienne de la relance économique pour proches aidants (PCREPA), une majorité de participants se sentaient plus interpellés par la deuxième image présentée, qui cadrait mieux avec la PCREPA.</w:t>
      </w:r>
    </w:p>
    <w:p w14:paraId="4ACA1EC0" w14:textId="77777777" w:rsidR="00CA41A3" w:rsidRPr="001B1235" w:rsidRDefault="00CA41A3" w:rsidP="00CA41A3">
      <w:pPr>
        <w:pStyle w:val="Heading2"/>
        <w:rPr>
          <w:lang w:val="fr-CA"/>
        </w:rPr>
      </w:pPr>
      <w:bookmarkStart w:id="24" w:name="_Toc49324376"/>
      <w:bookmarkStart w:id="25" w:name="_Toc58091216"/>
      <w:r w:rsidRPr="001B1235">
        <w:rPr>
          <w:lang w:val="fr-CA"/>
        </w:rPr>
        <w:t>Soutien pour les jeunes (villes de taille moyenne du sud et de l’est de l’Ontario)</w:t>
      </w:r>
      <w:bookmarkEnd w:id="24"/>
      <w:bookmarkEnd w:id="25"/>
    </w:p>
    <w:p w14:paraId="470A7D59" w14:textId="77777777" w:rsidR="00CA41A3" w:rsidRPr="001B1235" w:rsidRDefault="00CA41A3" w:rsidP="00CA41A3">
      <w:pPr>
        <w:rPr>
          <w:lang w:val="fr-CA"/>
        </w:rPr>
      </w:pPr>
      <w:r w:rsidRPr="001B1235">
        <w:rPr>
          <w:lang w:val="fr-CA"/>
        </w:rPr>
        <w:t xml:space="preserve">Les participants d’un groupe de discussion tenu à la fin du mois ont été invités à se prononcer sur plusieurs possibilités de noms pour deux programmes que le gouvernement du Canada lançait à l’intention des jeunes de 15 à 30 ans. </w:t>
      </w:r>
    </w:p>
    <w:p w14:paraId="787791C0" w14:textId="77777777" w:rsidR="00CA41A3" w:rsidRPr="001B1235" w:rsidRDefault="00CA41A3" w:rsidP="00CA41A3">
      <w:pPr>
        <w:rPr>
          <w:lang w:val="fr-CA"/>
        </w:rPr>
      </w:pPr>
      <w:r w:rsidRPr="001B1235">
        <w:rPr>
          <w:lang w:val="fr-CA"/>
        </w:rPr>
        <w:t xml:space="preserve">Le premier programme viserait à aider les jeunes Canadiens à se trouver un emploi grâce à des partenariats avec des employeurs de secteurs dans lesquels la demande est forte. Parmi les quatre noms évalués, </w:t>
      </w:r>
      <w:r w:rsidRPr="001B1235">
        <w:rPr>
          <w:i/>
          <w:iCs/>
          <w:lang w:val="fr-CA"/>
        </w:rPr>
        <w:t>c’est Programme de compétences, de formation et d’emploi des jeunes</w:t>
      </w:r>
      <w:r w:rsidRPr="001B1235">
        <w:rPr>
          <w:lang w:val="fr-CA"/>
        </w:rPr>
        <w:t xml:space="preserve"> que les participants ont préféré, car ils trouvaient ce nom clair, descriptif et professionnel et suffisamment détaillé pour savoir à quelle clientèle le programme s’adresse et ce à quoi il sert. Les participants avaient des opinions plus partagées sur les autres noms possibles et ont eu de vives discussions sur l’utilisation du terme « jeunes », compte tenu de l’étendue du groupe d’âge visé. Selon eux, ce terme ne convenait pas pour décrire des personnes de 20 à 30 ans et ces derniers risquaient de penser que ce programme ne s’adresse pas à eux.</w:t>
      </w:r>
    </w:p>
    <w:p w14:paraId="1E1F6B76" w14:textId="77777777" w:rsidR="00CA41A3" w:rsidRPr="003D4CF7" w:rsidRDefault="00CA41A3" w:rsidP="00CA41A3">
      <w:pPr>
        <w:rPr>
          <w:lang w:val="fr-CA"/>
        </w:rPr>
      </w:pPr>
      <w:r w:rsidRPr="001B1235">
        <w:rPr>
          <w:lang w:val="fr-CA"/>
        </w:rPr>
        <w:t xml:space="preserve">Le second programme était axé sur le soutien de l’employabilité des jeunes vulnérables, y compris ceux qui vivent avec un handicap, de ménages à faible revenu ou de jeunes autochtones. Nous avons présenté différents noms possibles pour ce programme aux participants. </w:t>
      </w:r>
      <w:r w:rsidRPr="001B1235">
        <w:rPr>
          <w:i/>
          <w:lang w:val="fr-CA"/>
        </w:rPr>
        <w:t>Programme Développement des compétences</w:t>
      </w:r>
      <w:r w:rsidRPr="001B1235">
        <w:rPr>
          <w:lang w:val="fr-CA"/>
        </w:rPr>
        <w:t xml:space="preserve"> est celui qu’ils préféraient, en raison de l’accent mis sur l’amélioration des </w:t>
      </w:r>
      <w:r w:rsidRPr="001B1235">
        <w:rPr>
          <w:lang w:val="fr-CA"/>
        </w:rPr>
        <w:lastRenderedPageBreak/>
        <w:t xml:space="preserve">compétences. Certains aimaient mieux </w:t>
      </w:r>
      <w:r w:rsidRPr="001B1235">
        <w:rPr>
          <w:i/>
          <w:lang w:val="fr-CA"/>
        </w:rPr>
        <w:t>Programme acquérir des expériences</w:t>
      </w:r>
      <w:r w:rsidRPr="001B1235">
        <w:rPr>
          <w:lang w:val="fr-CA"/>
        </w:rPr>
        <w:t xml:space="preserve">, le terme expérience leur semblant plus général et englobant pour évoquer les différentes façons d’acquérir des compétences et de l’expérience. Quelques participants avaient un penchant pour </w:t>
      </w:r>
      <w:r w:rsidRPr="001B1235">
        <w:rPr>
          <w:i/>
          <w:lang w:val="fr-CA"/>
        </w:rPr>
        <w:t>Jeunes au travail</w:t>
      </w:r>
      <w:r w:rsidRPr="001B1235">
        <w:rPr>
          <w:lang w:val="fr-CA"/>
        </w:rPr>
        <w:t>, surtout parce qu’il est facile à retenir et adapté aux médias sociaux</w:t>
      </w:r>
      <w:r w:rsidRPr="003D4CF7">
        <w:rPr>
          <w:lang w:val="fr-CA"/>
        </w:rPr>
        <w:t xml:space="preserve">.   </w:t>
      </w:r>
    </w:p>
    <w:p w14:paraId="366A5952" w14:textId="77777777" w:rsidR="00CA41A3" w:rsidRPr="001F52BA" w:rsidRDefault="00CA41A3" w:rsidP="00CA41A3">
      <w:pPr>
        <w:pStyle w:val="Heading2"/>
        <w:rPr>
          <w:lang w:val="fr-CA"/>
        </w:rPr>
      </w:pPr>
      <w:bookmarkStart w:id="26" w:name="_Toc58091217"/>
      <w:r w:rsidRPr="001F52BA">
        <w:rPr>
          <w:lang w:val="fr-CA"/>
        </w:rPr>
        <w:t>Application Alerte COVID (ville de Québec, Manitoba)</w:t>
      </w:r>
      <w:bookmarkEnd w:id="26"/>
    </w:p>
    <w:p w14:paraId="28F17542" w14:textId="77777777" w:rsidR="00CA41A3" w:rsidRPr="001F52BA" w:rsidRDefault="00CA41A3" w:rsidP="00CA41A3">
      <w:pPr>
        <w:rPr>
          <w:lang w:val="fr-CA"/>
        </w:rPr>
      </w:pPr>
      <w:r>
        <w:rPr>
          <w:lang w:val="fr-CA"/>
        </w:rPr>
        <w:t>Les participants de la</w:t>
      </w:r>
      <w:r w:rsidRPr="001F52BA">
        <w:rPr>
          <w:lang w:val="fr-CA"/>
        </w:rPr>
        <w:t xml:space="preserve"> ville de Québec </w:t>
      </w:r>
      <w:r>
        <w:rPr>
          <w:lang w:val="fr-CA"/>
        </w:rPr>
        <w:t>et du</w:t>
      </w:r>
      <w:r w:rsidRPr="001F52BA">
        <w:rPr>
          <w:lang w:val="fr-CA"/>
        </w:rPr>
        <w:t xml:space="preserve"> Manitoba</w:t>
      </w:r>
      <w:r>
        <w:rPr>
          <w:lang w:val="fr-CA"/>
        </w:rPr>
        <w:t xml:space="preserve"> ont eu une brève discussion sur l’application Alerte COVID durant laquelle</w:t>
      </w:r>
      <w:r w:rsidRPr="001F52BA">
        <w:rPr>
          <w:lang w:val="fr-CA"/>
        </w:rPr>
        <w:t xml:space="preserve"> </w:t>
      </w:r>
      <w:r>
        <w:rPr>
          <w:lang w:val="fr-CA"/>
        </w:rPr>
        <w:t>nous avons pu évaluer la connaissance générale de l’application et l’expérience de ceux qui l’avaient téléchargée</w:t>
      </w:r>
      <w:r w:rsidRPr="001F52BA">
        <w:rPr>
          <w:lang w:val="fr-CA"/>
        </w:rPr>
        <w:t>.</w:t>
      </w:r>
      <w:r>
        <w:rPr>
          <w:lang w:val="fr-CA"/>
        </w:rPr>
        <w:t xml:space="preserve"> La</w:t>
      </w:r>
      <w:r w:rsidRPr="001F52BA">
        <w:rPr>
          <w:lang w:val="fr-CA"/>
        </w:rPr>
        <w:t xml:space="preserve"> discussi</w:t>
      </w:r>
      <w:r>
        <w:rPr>
          <w:lang w:val="fr-CA"/>
        </w:rPr>
        <w:t>on nous a aussi permis de cerner la probabilité que les autres participants téléchargent l’application à leur tour,</w:t>
      </w:r>
      <w:r w:rsidRPr="001F52BA">
        <w:rPr>
          <w:lang w:val="fr-CA"/>
        </w:rPr>
        <w:t xml:space="preserve"> </w:t>
      </w:r>
      <w:r>
        <w:rPr>
          <w:lang w:val="fr-CA"/>
        </w:rPr>
        <w:t>à la lumière des renseignements fournis</w:t>
      </w:r>
      <w:r w:rsidRPr="001F52BA">
        <w:rPr>
          <w:lang w:val="fr-CA"/>
        </w:rPr>
        <w:t xml:space="preserve">. </w:t>
      </w:r>
    </w:p>
    <w:p w14:paraId="522C2FFB" w14:textId="77777777" w:rsidR="00CA41A3" w:rsidRPr="001F52BA" w:rsidRDefault="00CA41A3" w:rsidP="00CA41A3">
      <w:pPr>
        <w:rPr>
          <w:lang w:val="fr-CA"/>
        </w:rPr>
      </w:pPr>
      <w:bookmarkStart w:id="27" w:name="_Hlk65073370"/>
      <w:r>
        <w:rPr>
          <w:lang w:val="fr-CA"/>
        </w:rPr>
        <w:t>Presque tout le monde connaissait l’application et avait une assez bonne idée de son fonctionnement</w:t>
      </w:r>
      <w:r w:rsidRPr="001F52BA">
        <w:rPr>
          <w:lang w:val="fr-CA"/>
        </w:rPr>
        <w:t xml:space="preserve">. </w:t>
      </w:r>
      <w:r>
        <w:rPr>
          <w:lang w:val="fr-CA"/>
        </w:rPr>
        <w:t>Certains savaient qu’elle fait appel à la technologie</w:t>
      </w:r>
      <w:r w:rsidRPr="001F52BA">
        <w:rPr>
          <w:lang w:val="fr-CA"/>
        </w:rPr>
        <w:t xml:space="preserve"> Bluetooth. </w:t>
      </w:r>
      <w:r>
        <w:rPr>
          <w:lang w:val="fr-CA"/>
        </w:rPr>
        <w:t xml:space="preserve">D’autres ne le savaient pas, mais comprenaient son principe de base, c’est-à-dire que l’application utilise des données </w:t>
      </w:r>
      <w:proofErr w:type="spellStart"/>
      <w:r>
        <w:rPr>
          <w:lang w:val="fr-CA"/>
        </w:rPr>
        <w:t>géolocalisées</w:t>
      </w:r>
      <w:proofErr w:type="spellEnd"/>
      <w:r>
        <w:rPr>
          <w:lang w:val="fr-CA"/>
        </w:rPr>
        <w:t xml:space="preserve"> pour déterminer quand un utilisateur est entré en contact avec une personne ayant reçu un diagnostic positif à la COVID-19</w:t>
      </w:r>
      <w:bookmarkEnd w:id="27"/>
      <w:r w:rsidRPr="001F52BA">
        <w:rPr>
          <w:lang w:val="fr-CA"/>
        </w:rPr>
        <w:t xml:space="preserve">. </w:t>
      </w:r>
      <w:r>
        <w:rPr>
          <w:lang w:val="fr-CA"/>
        </w:rPr>
        <w:t>Le fonctionnement de l’application échappait toutefois à certains</w:t>
      </w:r>
      <w:r w:rsidRPr="001F52BA">
        <w:rPr>
          <w:lang w:val="fr-CA"/>
        </w:rPr>
        <w:t xml:space="preserve"> participants, </w:t>
      </w:r>
      <w:r>
        <w:rPr>
          <w:lang w:val="fr-CA"/>
        </w:rPr>
        <w:t>qui croyaient nécessaire d’entrer manuellement les données relatives aux emplacements</w:t>
      </w:r>
      <w:r w:rsidRPr="001F52BA">
        <w:rPr>
          <w:lang w:val="fr-CA"/>
        </w:rPr>
        <w:t xml:space="preserve">. </w:t>
      </w:r>
      <w:r>
        <w:rPr>
          <w:lang w:val="fr-CA"/>
        </w:rPr>
        <w:t>Pour d’autres, elle n’était pas tant un outil de recherche de contacts qu’une source d’information, et sa principale raison d’être consistait à transmettre de nouveaux renseignements sur la COVID-19</w:t>
      </w:r>
      <w:r w:rsidRPr="00CD33DB">
        <w:rPr>
          <w:lang w:val="fr-CA"/>
        </w:rPr>
        <w:t xml:space="preserve"> </w:t>
      </w:r>
      <w:r>
        <w:rPr>
          <w:lang w:val="fr-CA"/>
        </w:rPr>
        <w:t>aux utilisateurs</w:t>
      </w:r>
      <w:r w:rsidRPr="001F52BA">
        <w:rPr>
          <w:lang w:val="fr-CA"/>
        </w:rPr>
        <w:t xml:space="preserve">. </w:t>
      </w:r>
    </w:p>
    <w:p w14:paraId="04398335" w14:textId="77777777" w:rsidR="00CA41A3" w:rsidRPr="001F52BA" w:rsidRDefault="00CA41A3" w:rsidP="00CA41A3">
      <w:pPr>
        <w:rPr>
          <w:lang w:val="fr-CA"/>
        </w:rPr>
      </w:pPr>
      <w:r>
        <w:rPr>
          <w:lang w:val="fr-CA"/>
        </w:rPr>
        <w:t>Assez peu de</w:t>
      </w:r>
      <w:r w:rsidRPr="001F52BA">
        <w:rPr>
          <w:lang w:val="fr-CA"/>
        </w:rPr>
        <w:t xml:space="preserve"> participants </w:t>
      </w:r>
      <w:r>
        <w:rPr>
          <w:lang w:val="fr-CA"/>
        </w:rPr>
        <w:t>avaient téléchargé l’application</w:t>
      </w:r>
      <w:r w:rsidRPr="001F52BA">
        <w:rPr>
          <w:lang w:val="fr-CA"/>
        </w:rPr>
        <w:t>.</w:t>
      </w:r>
      <w:r>
        <w:rPr>
          <w:lang w:val="fr-CA"/>
        </w:rPr>
        <w:t xml:space="preserve"> Leurs commentaires sur </w:t>
      </w:r>
      <w:r w:rsidRPr="00452663">
        <w:rPr>
          <w:lang w:val="fr-CA"/>
        </w:rPr>
        <w:t>l’expérience étaient positifs. Ils ont signalé, en particulier, la simplicité d</w:t>
      </w:r>
      <w:r>
        <w:rPr>
          <w:lang w:val="fr-CA"/>
        </w:rPr>
        <w:t>u</w:t>
      </w:r>
      <w:r w:rsidRPr="00452663">
        <w:rPr>
          <w:lang w:val="fr-CA"/>
        </w:rPr>
        <w:t xml:space="preserve"> téléchargement et </w:t>
      </w:r>
      <w:r>
        <w:rPr>
          <w:lang w:val="fr-CA"/>
        </w:rPr>
        <w:t>la facilité d’</w:t>
      </w:r>
      <w:r w:rsidRPr="00452663">
        <w:rPr>
          <w:lang w:val="fr-CA"/>
        </w:rPr>
        <w:t>utilisation</w:t>
      </w:r>
      <w:r>
        <w:rPr>
          <w:lang w:val="fr-CA"/>
        </w:rPr>
        <w:t xml:space="preserve"> du produit</w:t>
      </w:r>
      <w:r w:rsidRPr="00452663">
        <w:rPr>
          <w:lang w:val="fr-CA"/>
        </w:rPr>
        <w:t xml:space="preserve">. </w:t>
      </w:r>
      <w:r>
        <w:rPr>
          <w:lang w:val="fr-CA"/>
        </w:rPr>
        <w:t xml:space="preserve">Les autres </w:t>
      </w:r>
      <w:r w:rsidRPr="00452663">
        <w:rPr>
          <w:lang w:val="fr-CA"/>
        </w:rPr>
        <w:t xml:space="preserve">ont affirmé qu’ils avaient simplement </w:t>
      </w:r>
      <w:r w:rsidRPr="00076B22">
        <w:rPr>
          <w:lang w:val="fr-CA"/>
        </w:rPr>
        <w:t xml:space="preserve">besoin </w:t>
      </w:r>
      <w:r>
        <w:rPr>
          <w:lang w:val="fr-CA"/>
        </w:rPr>
        <w:t xml:space="preserve">d’un rappel et d’un </w:t>
      </w:r>
      <w:proofErr w:type="gramStart"/>
      <w:r>
        <w:rPr>
          <w:lang w:val="fr-CA"/>
        </w:rPr>
        <w:t>encouragement</w:t>
      </w:r>
      <w:r w:rsidRPr="00452663">
        <w:rPr>
          <w:lang w:val="fr-CA"/>
        </w:rPr>
        <w:t>;</w:t>
      </w:r>
      <w:proofErr w:type="gramEnd"/>
      <w:r w:rsidRPr="00452663">
        <w:rPr>
          <w:lang w:val="fr-CA"/>
        </w:rPr>
        <w:t xml:space="preserve"> à la fin de la discussion, ils ont répété qu’ils envisageraient </w:t>
      </w:r>
      <w:r>
        <w:rPr>
          <w:lang w:val="fr-CA"/>
        </w:rPr>
        <w:t xml:space="preserve">de se procurer l’application </w:t>
      </w:r>
      <w:r w:rsidRPr="00452663">
        <w:rPr>
          <w:lang w:val="fr-CA"/>
        </w:rPr>
        <w:t>ou</w:t>
      </w:r>
      <w:r>
        <w:rPr>
          <w:lang w:val="fr-CA"/>
        </w:rPr>
        <w:t xml:space="preserve"> à tout le moins</w:t>
      </w:r>
      <w:r w:rsidRPr="00452663">
        <w:rPr>
          <w:lang w:val="fr-CA"/>
        </w:rPr>
        <w:t xml:space="preserve"> prendraient le temps de l’examiner </w:t>
      </w:r>
      <w:r>
        <w:rPr>
          <w:lang w:val="fr-CA"/>
        </w:rPr>
        <w:t>de plus près</w:t>
      </w:r>
      <w:r w:rsidRPr="00452663">
        <w:rPr>
          <w:lang w:val="fr-CA"/>
        </w:rPr>
        <w:t>.</w:t>
      </w:r>
    </w:p>
    <w:p w14:paraId="2D6B459F" w14:textId="77777777" w:rsidR="00CA41A3" w:rsidRPr="003D4CF7" w:rsidRDefault="00CA41A3" w:rsidP="00CA41A3">
      <w:pPr>
        <w:rPr>
          <w:lang w:val="fr-CA"/>
        </w:rPr>
      </w:pPr>
      <w:r>
        <w:rPr>
          <w:lang w:val="fr-CA"/>
        </w:rPr>
        <w:t>Au chapitre des préoccupations, quelques participants hésitaient à laisser la fonction Bluetooth activée en permanence ou s’inquiétaient des frais de données accrus associés au fonctionnement de l’application en arrière-plan et de la décharge rapide de leur téléphone cellulaire. Un petit nombre de participants</w:t>
      </w:r>
      <w:r w:rsidRPr="001F52BA">
        <w:rPr>
          <w:lang w:val="fr-CA"/>
        </w:rPr>
        <w:t xml:space="preserve"> </w:t>
      </w:r>
      <w:r>
        <w:rPr>
          <w:lang w:val="fr-CA"/>
        </w:rPr>
        <w:t>ont également évoqué le risque que leurs données personnelles soient piratées ou utilisées à d’autres fins à leur insu</w:t>
      </w:r>
      <w:r w:rsidRPr="001F52BA">
        <w:rPr>
          <w:lang w:val="fr-CA"/>
        </w:rPr>
        <w:t>.</w:t>
      </w:r>
      <w:r>
        <w:rPr>
          <w:lang w:val="fr-CA"/>
        </w:rPr>
        <w:t xml:space="preserve"> Enfin</w:t>
      </w:r>
      <w:r w:rsidRPr="001F52BA">
        <w:rPr>
          <w:lang w:val="fr-CA"/>
        </w:rPr>
        <w:t xml:space="preserve">, </w:t>
      </w:r>
      <w:r>
        <w:rPr>
          <w:lang w:val="fr-CA"/>
        </w:rPr>
        <w:t>quelques</w:t>
      </w:r>
      <w:r w:rsidRPr="001F52BA">
        <w:rPr>
          <w:lang w:val="fr-CA"/>
        </w:rPr>
        <w:t xml:space="preserve"> participants </w:t>
      </w:r>
      <w:r>
        <w:rPr>
          <w:lang w:val="fr-CA"/>
        </w:rPr>
        <w:t>ont fait remarquer que, n’ayant pas de téléphone intelligent, ils n’avaient pas accès à l’application Alerte COVID</w:t>
      </w:r>
      <w:r w:rsidRPr="003D4CF7">
        <w:rPr>
          <w:lang w:val="fr-CA"/>
        </w:rPr>
        <w:t>.</w:t>
      </w:r>
    </w:p>
    <w:p w14:paraId="075AB58A" w14:textId="77777777" w:rsidR="00CA41A3" w:rsidRPr="003D4CF7" w:rsidRDefault="00CA41A3" w:rsidP="00CA41A3">
      <w:pPr>
        <w:rPr>
          <w:lang w:val="fr-CA"/>
        </w:rPr>
      </w:pPr>
    </w:p>
    <w:p w14:paraId="3DF31B44" w14:textId="77777777" w:rsidR="00CA41A3" w:rsidRPr="003D4CF7" w:rsidRDefault="00CA41A3" w:rsidP="00CA41A3">
      <w:pPr>
        <w:rPr>
          <w:sz w:val="28"/>
          <w:szCs w:val="24"/>
          <w:lang w:val="fr-CA"/>
        </w:rPr>
      </w:pPr>
      <w:r w:rsidRPr="003D4CF7">
        <w:rPr>
          <w:sz w:val="28"/>
          <w:szCs w:val="24"/>
          <w:lang w:val="fr-CA"/>
        </w:rPr>
        <w:t>Part</w:t>
      </w:r>
      <w:r>
        <w:rPr>
          <w:sz w:val="28"/>
          <w:szCs w:val="24"/>
          <w:lang w:val="fr-CA"/>
        </w:rPr>
        <w:t>ie</w:t>
      </w:r>
      <w:r w:rsidRPr="003D4CF7">
        <w:rPr>
          <w:sz w:val="28"/>
          <w:szCs w:val="24"/>
          <w:lang w:val="fr-CA"/>
        </w:rPr>
        <w:t xml:space="preserve"> II</w:t>
      </w:r>
      <w:r>
        <w:rPr>
          <w:sz w:val="28"/>
          <w:szCs w:val="24"/>
          <w:lang w:val="fr-CA"/>
        </w:rPr>
        <w:t> : Autres enjeux</w:t>
      </w:r>
      <w:r w:rsidRPr="003D4CF7">
        <w:rPr>
          <w:sz w:val="28"/>
          <w:szCs w:val="24"/>
          <w:lang w:val="fr-CA"/>
        </w:rPr>
        <w:t xml:space="preserve"> </w:t>
      </w:r>
    </w:p>
    <w:p w14:paraId="3269D905" w14:textId="77777777" w:rsidR="00CA41A3" w:rsidRPr="001B1235" w:rsidRDefault="00CA41A3" w:rsidP="00CA41A3">
      <w:pPr>
        <w:pStyle w:val="Heading2"/>
        <w:rPr>
          <w:lang w:val="fr-CA"/>
        </w:rPr>
      </w:pPr>
      <w:bookmarkStart w:id="28" w:name="_Toc49324381"/>
      <w:bookmarkStart w:id="29" w:name="_Toc58091218"/>
      <w:r w:rsidRPr="001B1235">
        <w:rPr>
          <w:lang w:val="fr-CA"/>
        </w:rPr>
        <w:lastRenderedPageBreak/>
        <w:t>Le discours du Trône (Nouvelle-Écosse)</w:t>
      </w:r>
      <w:bookmarkEnd w:id="28"/>
      <w:bookmarkEnd w:id="29"/>
    </w:p>
    <w:p w14:paraId="21B75C13" w14:textId="77777777" w:rsidR="00CA41A3" w:rsidRPr="001B1235" w:rsidRDefault="00CA41A3" w:rsidP="00CA41A3">
      <w:pPr>
        <w:rPr>
          <w:lang w:val="fr-CA"/>
        </w:rPr>
      </w:pPr>
      <w:r w:rsidRPr="001B1235">
        <w:rPr>
          <w:lang w:val="fr-CA"/>
        </w:rPr>
        <w:t xml:space="preserve">Les participants étaient peu nombreux à se rappeler le discours du Trône, livré le 23 septembre 2020, et seulement quelques participants ont mentionné l’avoir écouté ou avoir lu des articles à ce sujet dans les journaux. </w:t>
      </w:r>
    </w:p>
    <w:p w14:paraId="125414C7" w14:textId="77777777" w:rsidR="00CA41A3" w:rsidRPr="001B1235" w:rsidRDefault="00CA41A3" w:rsidP="00CA41A3">
      <w:pPr>
        <w:rPr>
          <w:lang w:val="fr-CA"/>
        </w:rPr>
      </w:pPr>
      <w:r w:rsidRPr="001B1235">
        <w:rPr>
          <w:lang w:val="fr-CA"/>
        </w:rPr>
        <w:t xml:space="preserve">Après </w:t>
      </w:r>
      <w:proofErr w:type="spellStart"/>
      <w:r w:rsidRPr="001B1235">
        <w:rPr>
          <w:lang w:val="fr-CA"/>
        </w:rPr>
        <w:t>voir</w:t>
      </w:r>
      <w:proofErr w:type="spellEnd"/>
      <w:r w:rsidRPr="001B1235">
        <w:rPr>
          <w:lang w:val="fr-CA"/>
        </w:rPr>
        <w:t xml:space="preserve"> passé en revue les quatre principaux piliers du discours du Trône avec les participants, nous leur avons demandé s’il leur semblait que le gouvernement du Canada avait raté des occasions importantes ou devrait se concentrer sur d’autres priorités. Plusieurs dossiers leur paraissaient mériter une attention accrue, notamment : les initiatives environnementales, l’amélioration des relations Canada–États-Unis dans un vaste éventail d’enjeux, l’amélioration de l’autosuffisance du Canada et une meilleure utilisation de ses ressources, l’unité nationale et le Cadre stratégique pour l’Arctique et le Nord.</w:t>
      </w:r>
    </w:p>
    <w:p w14:paraId="3EADE1E5" w14:textId="77777777" w:rsidR="00CA41A3" w:rsidRPr="003D4CF7" w:rsidRDefault="00CA41A3" w:rsidP="00CA41A3">
      <w:pPr>
        <w:rPr>
          <w:lang w:val="fr-CA"/>
        </w:rPr>
      </w:pPr>
      <w:r w:rsidRPr="001B1235">
        <w:rPr>
          <w:lang w:val="fr-CA"/>
        </w:rPr>
        <w:t>Interrogés à savoir s’ils avaient entendu quoi que ce soit au sujet du déficit budgétaire projeté par le gouvernement du Canada, les participants ont pour la plupart répondu par la négative. Cependant, après avoir reçu quelques précisions, ils n’ont pas été particulièrement surpris d’apprendre que le déficit prévu s’élevait à 343 milliards de dollars cette année en raison de l’important soutien financier apporté aux Canadiens par le gouvernement fédéral depuis le début de la pandémie. Bien que beaucoup étaient favorables à l’aide financière offerte par le gouvernement fédéral, ils avaient des préoccupations au sujet des abus commis par des Canadiens non admissibles à l’assistance. Ils pensaient que dorénavant, des mesures devraient être prises pour favoriser le retour au travail des Canadiens et que le gouvernement devrait adopter une approche mieux adaptée et plus équitable en ce qui a trait à la distribution de l’aide financière</w:t>
      </w:r>
      <w:r w:rsidRPr="003D4CF7">
        <w:rPr>
          <w:lang w:val="fr-CA"/>
        </w:rPr>
        <w:t>.</w:t>
      </w:r>
      <w:bookmarkStart w:id="30" w:name="_Toc49324382"/>
    </w:p>
    <w:p w14:paraId="2FBFF299" w14:textId="77777777" w:rsidR="00CA41A3" w:rsidRPr="001B1235" w:rsidRDefault="00CA41A3" w:rsidP="00CA41A3">
      <w:pPr>
        <w:pStyle w:val="Heading2"/>
        <w:rPr>
          <w:lang w:val="fr-CA"/>
        </w:rPr>
      </w:pPr>
      <w:bookmarkStart w:id="31" w:name="_Toc58091219"/>
      <w:bookmarkEnd w:id="30"/>
      <w:r w:rsidRPr="001B1235">
        <w:rPr>
          <w:lang w:val="fr-CA"/>
        </w:rPr>
        <w:t>La pêche en Nouvelle-Écosse (Nouvelle-Écosse, villes ontariennes aux prises avec une deuxième vague, bénéficiaires de l’AE ou de prestations de relance habitant des villes de taille moyenne du Québec, villes de taille moyenne du sud et de l’est de l’Ontario)</w:t>
      </w:r>
      <w:bookmarkEnd w:id="31"/>
    </w:p>
    <w:p w14:paraId="71CA9A57" w14:textId="77777777" w:rsidR="00CA41A3" w:rsidRPr="001B1235" w:rsidRDefault="00CA41A3" w:rsidP="00CA41A3">
      <w:pPr>
        <w:rPr>
          <w:rFonts w:ascii="Times New Roman" w:hAnsi="Times New Roman"/>
          <w:lang w:val="fr-CA"/>
        </w:rPr>
      </w:pPr>
      <w:r w:rsidRPr="001B1235">
        <w:rPr>
          <w:lang w:val="fr-CA"/>
        </w:rPr>
        <w:t>Le sujet de la pêche en Nouvelle-Écosse a été abordé durant le mois dans plusieurs groupes formés de participants de l’Ontario, du Québec et de la Nouvelle-Écosse, dont plusieurs Autochtones du Canada atlantique (le compte rendu est présenté séparément dans la section intitulée Questions autochtones).</w:t>
      </w:r>
    </w:p>
    <w:p w14:paraId="048FF5BE" w14:textId="77777777" w:rsidR="00CA41A3" w:rsidRPr="001B1235" w:rsidRDefault="00CA41A3" w:rsidP="00CA41A3">
      <w:pPr>
        <w:rPr>
          <w:lang w:val="fr-CA"/>
        </w:rPr>
      </w:pPr>
      <w:r w:rsidRPr="001B1235">
        <w:rPr>
          <w:lang w:val="fr-CA"/>
        </w:rPr>
        <w:t xml:space="preserve">Interrogés sur ce qu’ils avaient entendu au sujet de la pêche en Nouvelle-Écosse, les participants ont démontré un niveau de connaissance très variable selon les régions. En Nouvelle-Écosse, les participants étaient pour la plupart très bien informés et avaient une solide compréhension des divers aspects de l’enjeu. Ce groupe reconnaissait à l’unanimité que les pêcheurs autochtones se prévalaient de leur droit de chasse, de pêche et de cueillette pour se procurer un « moyen de subsistance convenable », conformément à l’arrêt </w:t>
      </w:r>
      <w:r w:rsidRPr="001B1235">
        <w:rPr>
          <w:i/>
          <w:iCs/>
          <w:lang w:val="fr-CA"/>
        </w:rPr>
        <w:t>Marshall</w:t>
      </w:r>
      <w:r w:rsidRPr="001B1235">
        <w:rPr>
          <w:lang w:val="fr-CA"/>
        </w:rPr>
        <w:t xml:space="preserve"> de 1999 de la Cour suprême du Canada. Ainsi, ils considéraient généralement que les pêcheurs autochtones agissaient dans les limites de leurs droits. Dans les autres régions, la connaissance du différend était plus limitée. La connaissance des participants reposait seulement sur ce qu’ils avaient lu dans les manchettes et ils n’ont donné que des détails imprécis, la plupart mentionnant que des manifestations avaient eu lieu et qu’il y avait un conflit entre des pêcheurs autochtones et non autochtones. Dans l’ensemble, les participants se sont </w:t>
      </w:r>
      <w:r w:rsidRPr="001B1235">
        <w:rPr>
          <w:lang w:val="fr-CA"/>
        </w:rPr>
        <w:lastRenderedPageBreak/>
        <w:t>montrés davantage préoccupés par le fait que le conflit risque de se poursuive en l’absence de dialogue et d’une entente négociée entre les parties.   </w:t>
      </w:r>
    </w:p>
    <w:p w14:paraId="21D33080" w14:textId="77777777" w:rsidR="00CA41A3" w:rsidRPr="003D4CF7" w:rsidRDefault="00CA41A3" w:rsidP="00CA41A3">
      <w:pPr>
        <w:rPr>
          <w:lang w:val="fr-CA"/>
        </w:rPr>
      </w:pPr>
      <w:r w:rsidRPr="001B1235">
        <w:rPr>
          <w:lang w:val="fr-CA"/>
        </w:rPr>
        <w:t>Quel que soit leur niveau de connaissance au sujet de cet enjeu, les participants s’entendaient pour la plupart sur le fait que le gouvernement du Canada devrait s’impliquer pour régler ce différend, mais c’est en Nouvelle-Écosse que ce point de vue a été exprimé avec le plus de force. Les participants préconisaient que le gouvernement fédéral fasse respecter les lois, agisse comme médiateur ou négocie avec les parties prenantes et établisse des règles clairement définies pour les deux parties. En Nouvelle-Écosse, les participants ont souligné qu’il était peu probable que le différend puisse se résoudre sans l’intervention du gouvernement du Canada</w:t>
      </w:r>
      <w:r w:rsidRPr="003D4CF7">
        <w:rPr>
          <w:lang w:val="fr-CA"/>
        </w:rPr>
        <w:t>.</w:t>
      </w:r>
    </w:p>
    <w:p w14:paraId="3DF85400" w14:textId="77777777" w:rsidR="00CA41A3" w:rsidRPr="001B1235" w:rsidRDefault="00CA41A3" w:rsidP="00CA41A3">
      <w:pPr>
        <w:pStyle w:val="Heading2"/>
        <w:rPr>
          <w:lang w:val="fr-CA"/>
        </w:rPr>
      </w:pPr>
      <w:bookmarkStart w:id="32" w:name="_Toc49324383"/>
      <w:bookmarkStart w:id="33" w:name="_Toc58091220"/>
      <w:bookmarkEnd w:id="23"/>
      <w:r w:rsidRPr="001B1235">
        <w:rPr>
          <w:lang w:val="fr-CA"/>
        </w:rPr>
        <w:t xml:space="preserve">Le racisme (Canadiens </w:t>
      </w:r>
      <w:proofErr w:type="spellStart"/>
      <w:r w:rsidRPr="001B1235">
        <w:rPr>
          <w:lang w:val="fr-CA"/>
        </w:rPr>
        <w:t>racialisés</w:t>
      </w:r>
      <w:proofErr w:type="spellEnd"/>
      <w:r w:rsidRPr="001B1235">
        <w:rPr>
          <w:lang w:val="fr-CA"/>
        </w:rPr>
        <w:t xml:space="preserve"> de la GRM, Canadiens </w:t>
      </w:r>
      <w:proofErr w:type="spellStart"/>
      <w:r w:rsidRPr="001B1235">
        <w:rPr>
          <w:lang w:val="fr-CA"/>
        </w:rPr>
        <w:t>racialisés</w:t>
      </w:r>
      <w:proofErr w:type="spellEnd"/>
      <w:r w:rsidRPr="001B1235">
        <w:rPr>
          <w:lang w:val="fr-CA"/>
        </w:rPr>
        <w:t xml:space="preserve"> de la RGTH)</w:t>
      </w:r>
      <w:bookmarkEnd w:id="32"/>
      <w:bookmarkEnd w:id="33"/>
    </w:p>
    <w:p w14:paraId="7ABB51FF" w14:textId="77777777" w:rsidR="00CA41A3" w:rsidRPr="001B1235" w:rsidRDefault="00CA41A3" w:rsidP="00CA41A3">
      <w:pPr>
        <w:rPr>
          <w:lang w:val="fr-CA"/>
        </w:rPr>
      </w:pPr>
      <w:r w:rsidRPr="001B1235">
        <w:rPr>
          <w:lang w:val="fr-CA"/>
        </w:rPr>
        <w:t xml:space="preserve">Deux groupes composés de Canadiens </w:t>
      </w:r>
      <w:proofErr w:type="spellStart"/>
      <w:r w:rsidRPr="001B1235">
        <w:rPr>
          <w:lang w:val="fr-CA"/>
        </w:rPr>
        <w:t>racialisés</w:t>
      </w:r>
      <w:proofErr w:type="spellEnd"/>
      <w:r w:rsidRPr="001B1235">
        <w:rPr>
          <w:lang w:val="fr-CA"/>
        </w:rPr>
        <w:t xml:space="preserve"> se sont réunis au cours du mois, l’un dans la grande région de Montréal (GRM) et l’autre, dans la Région du Grand Toronto et de Hamilton (RGTH) où les participants se sont livrés à de vastes échanges à propos du racisme au Canada.  </w:t>
      </w:r>
    </w:p>
    <w:p w14:paraId="7F45A735" w14:textId="77777777" w:rsidR="00CA41A3" w:rsidRPr="001B1235" w:rsidRDefault="00CA41A3" w:rsidP="00CA41A3">
      <w:pPr>
        <w:rPr>
          <w:lang w:val="fr-CA"/>
        </w:rPr>
      </w:pPr>
      <w:r w:rsidRPr="001B1235">
        <w:rPr>
          <w:lang w:val="fr-CA"/>
        </w:rPr>
        <w:t xml:space="preserve">Quand nous leur avons demandé si le racisme posait problème au Canada, les participants des deux groupes ont exprimé des points de vue quelque peu différents, mais tous s’entendaient pour dire que le racisme existe au Canada et qu’il tend à se manifester subtilement. Certains ont noté que la nature discrète du racisme au Canada le rend peut-être même plus insidieux, et donc plus difficile à confronter, contester et éliminer. Les participants ont fait remarquer que le racisme se manifestait de nombreuses manières dans leur vie quotidienne et au sein d’institutions et de systèmes spécifiques, plus particulièrement sur les lieux de travail, dans les organismes d’application de la loi et le système judiciaire.  </w:t>
      </w:r>
    </w:p>
    <w:p w14:paraId="2E2C9AF6" w14:textId="77777777" w:rsidR="00CA41A3" w:rsidRPr="001B1235" w:rsidRDefault="00CA41A3" w:rsidP="00CA41A3">
      <w:pPr>
        <w:rPr>
          <w:lang w:val="fr-CA"/>
        </w:rPr>
      </w:pPr>
      <w:r w:rsidRPr="001B1235">
        <w:rPr>
          <w:lang w:val="fr-CA"/>
        </w:rPr>
        <w:t xml:space="preserve">Plusieurs participants ont soulevé la question des stéréotypes dans lesquels ils se trouvaient souvent enfermés, situation qu’ils considéraient comme courante, sans qu’elle soit nécessairement intentionnelle. Dans l’ensemble, ils percevaient que, même si le Canada est reconnu comme une société diversifiée, davantage de mesures pourraient être prises pour promouvoir une meilleure compréhension des diverses cultures et origines, et accroître la tolérance envers elles.  </w:t>
      </w:r>
    </w:p>
    <w:p w14:paraId="004188D7" w14:textId="77777777" w:rsidR="00CA41A3" w:rsidRPr="001B1235" w:rsidRDefault="00CA41A3" w:rsidP="00CA41A3">
      <w:pPr>
        <w:rPr>
          <w:lang w:val="fr-CA"/>
        </w:rPr>
      </w:pPr>
      <w:r w:rsidRPr="001B1235">
        <w:rPr>
          <w:lang w:val="fr-CA"/>
        </w:rPr>
        <w:t>Le racisme systémique était vu comme un problème délicat et complexe et certains des participants considéraient que l’éducation demeurait la meilleure stratégie pour le contrer. Plus précisément, les participants ont recommandé non seulement l’élaboration et l’instauration d’un programme pédagogique plus diversifié dans les écoles, et ce, dès les premières années, mais également le déploiement d’une initiative plus vaste pour l’éducation du grand public. Parmi les autres recommandations, notons la mise en valeur de divers modèles d’identification, la valorisation des réalisations et des contributions des divers groupes à la vie canadienne, et l’utilisation de ressources et de stratégies d’intervention ciblées pour les jeunes à haut risque des communautés défavorisées afin d’améliorer le sort de ces groupes.</w:t>
      </w:r>
    </w:p>
    <w:p w14:paraId="6D2B5FCB" w14:textId="77777777" w:rsidR="00CA41A3" w:rsidRPr="003D4CF7" w:rsidRDefault="00CA41A3" w:rsidP="00CA41A3">
      <w:pPr>
        <w:rPr>
          <w:lang w:val="fr-CA"/>
        </w:rPr>
      </w:pPr>
      <w:r w:rsidRPr="001B1235">
        <w:rPr>
          <w:lang w:val="fr-CA"/>
        </w:rPr>
        <w:t xml:space="preserve">Les participants ont discuté d’une série d’annonces récentes du gouvernement du Canada visant à remédier au problème du racisme systémique. Dans l’ensemble, ils étaient d’avis que les dix mesures </w:t>
      </w:r>
      <w:r w:rsidRPr="001B1235">
        <w:rPr>
          <w:lang w:val="fr-CA"/>
        </w:rPr>
        <w:lastRenderedPageBreak/>
        <w:t xml:space="preserve">étaient importantes et bien fondées. Cependant, les participants estimaient que cinq d’entre elles étaient susceptibles d’être plus efficaces pour changer les choses. La majorité </w:t>
      </w:r>
      <w:proofErr w:type="gramStart"/>
      <w:r w:rsidRPr="001B1235">
        <w:rPr>
          <w:lang w:val="fr-CA"/>
        </w:rPr>
        <w:t>étaient</w:t>
      </w:r>
      <w:proofErr w:type="gramEnd"/>
      <w:r w:rsidRPr="001B1235">
        <w:rPr>
          <w:lang w:val="fr-CA"/>
        </w:rPr>
        <w:t xml:space="preserve"> liées au système de justice pénale, mais aussi aux mesures visant à contrer la haine en ligne et à valoriser certaines communautés en particulier par la création de débouchés économiques. Plusieurs participants se sont montrés favorables à ce que le gouvernement fédéral instaure des lois et investisse pour régler les problèmes de discrimination systémique dans toutes les phases du système judiciaire. De même, ils étaient en faveur des efforts visant à moderniser la formation des policiers et des agents responsables de l’application de la loi. Ils considéraient que ces initiatives étaient un point de départ important qui conduirait ultimement à un système judiciaire plus juste et équitable. Les participants se sont également montrés préoccupés par le phénomène grandissant de la diffusion de discours haineux en ligne et ont souligné la nécessité pour les plateformes de réseaux sociaux de jouer un rôle plus proactif afin de s’attaquer au problème et d’exercer le contrôle nécessaire. Le renforcement des efforts d’autonomisation économique visant des communautés ciblées a été vu comme un moyen supplémentaire d’aider les groupes </w:t>
      </w:r>
      <w:proofErr w:type="spellStart"/>
      <w:r w:rsidRPr="001B1235">
        <w:rPr>
          <w:lang w:val="fr-CA"/>
        </w:rPr>
        <w:t>racialisés</w:t>
      </w:r>
      <w:proofErr w:type="spellEnd"/>
      <w:r w:rsidRPr="001B1235">
        <w:rPr>
          <w:lang w:val="fr-CA"/>
        </w:rPr>
        <w:t xml:space="preserve"> à trouver de l’emploi et de favoriser le recrutement d’une plus grande diversité de candidats. De façon générale, les participants étaient d’avis que la mise en œuvre de politiques axées sur la diversité dans les milieux de travail, plus particulièrement au sein de la fonction publique, était un point de départ important qui mènerait vers une plus grande diversité chez ceux qui détiennent des postes de leadership</w:t>
      </w:r>
      <w:r w:rsidRPr="003D4CF7">
        <w:rPr>
          <w:lang w:val="fr-CA"/>
        </w:rPr>
        <w:t>.</w:t>
      </w:r>
    </w:p>
    <w:p w14:paraId="3406D7B9" w14:textId="77777777" w:rsidR="00CA41A3" w:rsidRPr="001B1235" w:rsidRDefault="00CA41A3" w:rsidP="00CA41A3">
      <w:pPr>
        <w:pStyle w:val="Heading2"/>
        <w:rPr>
          <w:lang w:val="fr-CA"/>
        </w:rPr>
      </w:pPr>
      <w:bookmarkStart w:id="34" w:name="_Toc58091221"/>
      <w:r w:rsidRPr="001B1235">
        <w:rPr>
          <w:lang w:val="fr-CA"/>
        </w:rPr>
        <w:t>Questions autochtones (Autochtones du Canada atlantique)</w:t>
      </w:r>
      <w:bookmarkEnd w:id="34"/>
    </w:p>
    <w:p w14:paraId="058EA881" w14:textId="77777777" w:rsidR="00CA41A3" w:rsidRPr="001B1235" w:rsidRDefault="00CA41A3" w:rsidP="00CA41A3">
      <w:pPr>
        <w:rPr>
          <w:lang w:val="fr-CA"/>
        </w:rPr>
      </w:pPr>
      <w:r w:rsidRPr="001B1235">
        <w:rPr>
          <w:lang w:val="fr-CA"/>
        </w:rPr>
        <w:t xml:space="preserve">En octobre, un groupe de discussion formé d’Autochtones du Canada atlantique a été réuni. La discussion a touché un large éventail de sujets et nous avons pu recueillir les opinions des participants sur les priorités essentielles pour les peuples autochtones, la pêche en Nouvelle-Écosse, la Déclaration des Nations Unies sur les droits des peuples autochtones (DNUDPA), le racisme systémique et le problème de l’amélioration de l’eau potable dans les réserves. </w:t>
      </w:r>
    </w:p>
    <w:p w14:paraId="4CE31D9A" w14:textId="77777777" w:rsidR="00CA41A3" w:rsidRPr="001B1235" w:rsidRDefault="00CA41A3" w:rsidP="00CA41A3">
      <w:pPr>
        <w:rPr>
          <w:lang w:val="fr-CA"/>
        </w:rPr>
      </w:pPr>
      <w:r w:rsidRPr="001B1235">
        <w:rPr>
          <w:lang w:val="fr-CA"/>
        </w:rPr>
        <w:t>En termes de priorités, les participants s’entendaient pour dire que les Canadiens sont généralement mal informés au sujet des droits, de la culture et des valeurs des Autochtones, ce qui a pour conséquence la désinformation, les préjugés et la méfiance. Parmi les autres enjeux soulevés dans le contexte de cette discussion, notons le racisme, le peu de débouchés économiques pour les Autochtones, plus particulièrement pour ceux qui vivent dans les réserves, le manque de financement pour les communautés autochtones et le besoin d’une meilleure représentation des Autochtones au sein des organes décisionnels. Les participants ont manifesté le désir de voir le gouvernement du Canada respecter ses promesses envers les peuples autochtones et ont exprimé leur déception devant ce qu’ils percevaient comme un décalage flagrant entre le discours et les actes du gouvernement fédéral.</w:t>
      </w:r>
    </w:p>
    <w:p w14:paraId="3FF37463" w14:textId="77777777" w:rsidR="00CA41A3" w:rsidRPr="001B1235" w:rsidRDefault="00CA41A3" w:rsidP="00CA41A3">
      <w:pPr>
        <w:rPr>
          <w:lang w:val="fr-CA"/>
        </w:rPr>
      </w:pPr>
      <w:r w:rsidRPr="001B1235">
        <w:rPr>
          <w:lang w:val="fr-CA"/>
        </w:rPr>
        <w:t xml:space="preserve">Certains participants étaient au courant des enjeux liés aux pêcheurs de homard autochtones et commerciaux en Nouvelle-Écosse. Quelques-uns ont fait remarquer que, dans la situation inverse, le problème aurait reçu beaucoup plus d’attention de la part du gouvernement fédéral. Les participants croyaient résolument que le gouvernement du Canada devrait démontrer son engagement à protéger les droits autochtones issus de traités en agissant plus fermement et promptement et que, ce faisant, </w:t>
      </w:r>
      <w:r w:rsidRPr="001B1235">
        <w:rPr>
          <w:lang w:val="fr-CA"/>
        </w:rPr>
        <w:lastRenderedPageBreak/>
        <w:t>cela aiderait à rectifier les perceptions erronées du public au sujet des droits autochtones (p. ex., que les pêcheurs autochtones agissent illégalement).</w:t>
      </w:r>
    </w:p>
    <w:p w14:paraId="79C4D2D4" w14:textId="77777777" w:rsidR="00CA41A3" w:rsidRPr="001B1235" w:rsidRDefault="00CA41A3" w:rsidP="00CA41A3">
      <w:pPr>
        <w:rPr>
          <w:lang w:val="fr-CA"/>
        </w:rPr>
      </w:pPr>
      <w:r w:rsidRPr="001B1235">
        <w:rPr>
          <w:lang w:val="fr-CA"/>
        </w:rPr>
        <w:t>Les connaissances des participants sur la Déclaration des Nations Unies sur les droits des peuples autochtones (DNUDPA) étaient très limitées. Quand nous avons demandé aux participants quels changements se produiraient, d’après eux, si le Canada mettait intégralement en œuvre la DNUDPA, ils se sont montrés sceptiques devant cette possibilité, jugée utopique. Ils étaient d’avis que la mise en œuvre intégrale était au mieux une lointaine possibilité, qui exigerait que le gouvernement du Canada cède considérablement, sinon entièrement aux peuples autochtones le contrôle de leurs terres et de leurs droits. Comme point de départ, les participants estimaient que le gouvernement du Canada devrait commencer à négocier des ententes sur l’utilisation des terres avec chaque réserve individuellement, accorder à chaque communauté autochtone une plus grande autonomie et collaborer à la création d’un plan de protection de l’environnement.</w:t>
      </w:r>
    </w:p>
    <w:p w14:paraId="0ED8F931" w14:textId="77777777" w:rsidR="00CA41A3" w:rsidRPr="001B1235" w:rsidRDefault="00CA41A3" w:rsidP="00CA41A3">
      <w:pPr>
        <w:rPr>
          <w:lang w:val="fr-CA"/>
        </w:rPr>
      </w:pPr>
      <w:r w:rsidRPr="001B1235">
        <w:rPr>
          <w:lang w:val="fr-CA"/>
        </w:rPr>
        <w:t xml:space="preserve">Par la suite, les discussions se sont orientées sur le racisme à l’encontre des Autochtones lequel, selon la plupart des participants, est omniprésent au Canada. Plusieurs avaient personnellement été victimes de racisme à divers degrés. Ils ont souligné le rôle de plusieurs systèmes et institutions qui perpétuent ce cycle, dont les médias, le secteur de la santé, l’enseignement public, les forces de l’ordre, le système judiciaire et les gouvernements.  </w:t>
      </w:r>
    </w:p>
    <w:p w14:paraId="34DC8F1D" w14:textId="77777777" w:rsidR="00CA41A3" w:rsidRPr="003D4CF7" w:rsidRDefault="00CA41A3" w:rsidP="00CA41A3">
      <w:pPr>
        <w:rPr>
          <w:lang w:val="fr-CA"/>
        </w:rPr>
      </w:pPr>
      <w:r w:rsidRPr="001B1235">
        <w:rPr>
          <w:lang w:val="fr-CA"/>
        </w:rPr>
        <w:t>Le dernier sujet de discussion portait sur les efforts du gouvernement du Canada pour lever les avis sur l’eau potable à long terme dans les réserves. Nous avons donné aux participants de l’information illustrant l’engagement du gouvernement fédéral dans ce secteur et les progrès accomplis jusqu’à présent. Plusieurs participants, qui jusqu’à présent ne connaissaient pas en détail les données qui leur ont été montrées, n’ont pas été particulièrement impressionnés. À leur avis, le problème n’était pas une priorité importante pour le gouvernement du Canada et ils ont souligné qu’un tel problème n’aurait jamais dû se produire dans un pays aussi évolué que le Canada. Ils se sont également montrés sceptiques devant le suivi apporté en matière d’entretien et de contrôle de la qualité. Du même coup, les participants ont affirmé en bloc que ce problème devrait être considéré comme hautement prioritaire par le gouvernement fédéral et certains ont signalé qu’en réglant la question des avis sur la qualité de l’eau potable, le gouvernement répondrait à un principe clé de la DNUDPA visant à protéger les Autochtones contre la discrimination</w:t>
      </w:r>
      <w:r w:rsidRPr="003D4CF7">
        <w:rPr>
          <w:lang w:val="fr-CA"/>
        </w:rPr>
        <w:t xml:space="preserve">. </w:t>
      </w:r>
    </w:p>
    <w:p w14:paraId="0C6B1BDD" w14:textId="77777777" w:rsidR="00CA41A3" w:rsidRPr="001B1235" w:rsidRDefault="00CA41A3" w:rsidP="00CA41A3">
      <w:pPr>
        <w:pStyle w:val="Heading2"/>
        <w:rPr>
          <w:lang w:val="fr-CA"/>
        </w:rPr>
      </w:pPr>
      <w:bookmarkStart w:id="35" w:name="_Toc58091222"/>
      <w:r w:rsidRPr="001B1235">
        <w:rPr>
          <w:lang w:val="fr-CA"/>
        </w:rPr>
        <w:t>Aliénation de l’Ouest (nord de l’Alberta, Manitoba)</w:t>
      </w:r>
      <w:bookmarkEnd w:id="35"/>
    </w:p>
    <w:p w14:paraId="041895FA" w14:textId="77777777" w:rsidR="00CA41A3" w:rsidRPr="001B1235" w:rsidRDefault="00CA41A3" w:rsidP="00CA41A3">
      <w:pPr>
        <w:rPr>
          <w:lang w:val="fr-CA"/>
        </w:rPr>
      </w:pPr>
      <w:r w:rsidRPr="001B1235">
        <w:rPr>
          <w:lang w:val="fr-CA"/>
        </w:rPr>
        <w:t xml:space="preserve">Dans les deux groupes composés de participants habitant des villes de l’Ouest, une partie de la discussion portait sur des enjeux se rapportant à l’aliénation de l’Ouest. </w:t>
      </w:r>
    </w:p>
    <w:p w14:paraId="3E3E3D23" w14:textId="77777777" w:rsidR="00CA41A3" w:rsidRPr="001B1235" w:rsidRDefault="00CA41A3" w:rsidP="00CA41A3">
      <w:pPr>
        <w:rPr>
          <w:lang w:val="fr-CA"/>
        </w:rPr>
      </w:pPr>
      <w:r w:rsidRPr="001B1235">
        <w:rPr>
          <w:lang w:val="fr-CA"/>
        </w:rPr>
        <w:t xml:space="preserve">Les participants ont été invités à indiquer les trois principaux mots qu’ils utiliseraient pour dépeindre la relation actuelle entre le gouvernement du Canada et leur province. Les réponses fournies variaient grandement d’une province à l’autre. Plus de négativité et de frustration étaient palpables chez les participants du nord de l’Alberta, notamment en ce qui concerne la performance économique de la province et l’impression que le gouvernement fédéral n’appuyait pas assez leur province et n’influait pas suffisamment sur les décisions qui la touchent. La plupart des participants employaient les termes </w:t>
      </w:r>
      <w:r w:rsidRPr="001B1235">
        <w:rPr>
          <w:lang w:val="fr-CA"/>
        </w:rPr>
        <w:lastRenderedPageBreak/>
        <w:t xml:space="preserve">suivants pour décrire la relation : source de frustration, évitement, impossible à réparer, et paroles en l’air. </w:t>
      </w:r>
    </w:p>
    <w:p w14:paraId="74BC2CB9" w14:textId="77777777" w:rsidR="00CA41A3" w:rsidRPr="001B1235" w:rsidRDefault="00CA41A3" w:rsidP="00CA41A3">
      <w:pPr>
        <w:rPr>
          <w:b/>
          <w:lang w:val="fr-CA"/>
        </w:rPr>
      </w:pPr>
      <w:r w:rsidRPr="001B1235">
        <w:rPr>
          <w:lang w:val="fr-CA"/>
        </w:rPr>
        <w:t xml:space="preserve">En général, les participants du Manitoba voyaient la relation entre leur province et le gouvernement fédéral d’un œil plus favorable et n’avaient pas vraiment l’impression que le Manitoba était </w:t>
      </w:r>
      <w:proofErr w:type="gramStart"/>
      <w:r w:rsidRPr="001B1235">
        <w:rPr>
          <w:lang w:val="fr-CA"/>
        </w:rPr>
        <w:t>traité</w:t>
      </w:r>
      <w:proofErr w:type="gramEnd"/>
      <w:r w:rsidRPr="001B1235">
        <w:rPr>
          <w:lang w:val="fr-CA"/>
        </w:rPr>
        <w:t xml:space="preserve"> différemment des autres provinces. Selon eux, la relation était équitable, acceptable et collaborative, mais aussi polarisée, tendue et caractérisée par les divisions et les secrets. Les participants attribuaient tout clivage principalement aux différents points de vue des deux ordres de gouvernement et à la propension du gouvernement provincial à adopter une position critique à l’endroit des politiques et des programmes fédéraux.</w:t>
      </w:r>
      <w:r w:rsidRPr="001B1235">
        <w:rPr>
          <w:b/>
          <w:lang w:val="fr-CA"/>
        </w:rPr>
        <w:t xml:space="preserve"> </w:t>
      </w:r>
    </w:p>
    <w:p w14:paraId="720C9A35" w14:textId="77777777" w:rsidR="00CA41A3" w:rsidRPr="001B1235" w:rsidRDefault="00CA41A3" w:rsidP="00CA41A3">
      <w:pPr>
        <w:rPr>
          <w:lang w:val="fr-CA"/>
        </w:rPr>
      </w:pPr>
      <w:r w:rsidRPr="001B1235">
        <w:rPr>
          <w:lang w:val="fr-CA"/>
        </w:rPr>
        <w:t>À la question visant à savoir si le gouvernement du Canada traitait équitablement leur province, nous avons constaté la même divergence d’opinions. Les participants du nord de l’Alberta s’entendaient généralement pour dire que ce n’était pas le cas, le gouvernement du Canada ayant l’air plus préoccupé selon eux par les emplois dans le centre du Canada. Sans compter que de nombreux participants étaient d’avis que l’Alberta versait des paiements de péréquation injustement élevés au gouvernement fédéral par rapport à ce qu’elle recevait en contrepartie. Invités à se prononcer sur ce que le gouvernement fédéral pourrait faire pour montrer qu’il est à l’écoute des préoccupations des gens de l’Alberta, beaucoup de participants prônaient davantage de communication et de collaboration avec le secteur pétrolier et gazier, à l’heure où la province délaisse l’économie axée sur les combustibles fossiles pour une économie plus diversifiée. En comparaison, les participants du Manitoba ont donné peu de réponses à cette question. La plupart considéraient qu’en général les Manitobains étaient traités de façon équitable, estimant avoir un assez bon accès aux soins de santé et à l’éducation dans la province.</w:t>
      </w:r>
    </w:p>
    <w:p w14:paraId="6884DDC2" w14:textId="77777777" w:rsidR="00CA41A3" w:rsidRPr="001B1235" w:rsidRDefault="00CA41A3" w:rsidP="00CA41A3">
      <w:pPr>
        <w:pStyle w:val="Heading2"/>
        <w:rPr>
          <w:lang w:val="fr-CA"/>
        </w:rPr>
      </w:pPr>
      <w:bookmarkStart w:id="36" w:name="_Toc58091223"/>
      <w:r w:rsidRPr="001B1235">
        <w:rPr>
          <w:lang w:val="fr-CA"/>
        </w:rPr>
        <w:t>Enjeux locaux (nord de l’Alberta, Yellowknife)</w:t>
      </w:r>
      <w:bookmarkEnd w:id="36"/>
    </w:p>
    <w:p w14:paraId="4C3C5B14" w14:textId="77777777" w:rsidR="00CA41A3" w:rsidRPr="001B1235" w:rsidRDefault="00CA41A3" w:rsidP="00CA41A3">
      <w:pPr>
        <w:rPr>
          <w:lang w:val="fr-CA"/>
        </w:rPr>
      </w:pPr>
      <w:r w:rsidRPr="001B1235">
        <w:rPr>
          <w:lang w:val="fr-CA"/>
        </w:rPr>
        <w:t>Les enjeux locaux ont été abordés dans le nord de l’Alberta et à Yellowknife, afin de cerner les priorités du gouvernement du Canada.</w:t>
      </w:r>
    </w:p>
    <w:p w14:paraId="427EF4EB" w14:textId="77777777" w:rsidR="00CA41A3" w:rsidRPr="001B1235" w:rsidRDefault="00CA41A3" w:rsidP="00CA41A3">
      <w:pPr>
        <w:rPr>
          <w:lang w:val="fr-CA"/>
        </w:rPr>
      </w:pPr>
      <w:r w:rsidRPr="001B1235">
        <w:rPr>
          <w:lang w:val="fr-CA"/>
        </w:rPr>
        <w:t>Les participants du nord de l’Alberta ont soulevé plusieurs enjeux, dont l’emploi, les soins de santé, la sensibilisation à la santé mentale, l’éducation, l’itinérance et la réconciliation avec les peuples autochtones. Ils ont été peu volubiles au sujet des initiatives mises en place par le gouvernement fédéral qui ont été profitables pour la province, ne mentionnant que le réseau pipelinier Trans </w:t>
      </w:r>
      <w:proofErr w:type="spellStart"/>
      <w:r w:rsidRPr="001B1235">
        <w:rPr>
          <w:lang w:val="fr-CA"/>
        </w:rPr>
        <w:t>Mountain</w:t>
      </w:r>
      <w:proofErr w:type="spellEnd"/>
      <w:r w:rsidRPr="001B1235">
        <w:rPr>
          <w:lang w:val="fr-CA"/>
        </w:rPr>
        <w:t>. À l’inverse, ils étaient généralement favorables aux efforts entrepris par le gouvernement pour remédier aux problèmes de puits abandonnés. D’après eux, cela serait bon pour l’environnement et permettrait de créer des emplois nécessaires à court terme. Les principales critiques concernant cette initiative se rapportaient à l’utilisation de fonds publics pour l’assainissement des puits, une responsabilité qui devrait incomber plutôt aux entreprises qui avaient exploité, puis abandonné les puits. Nous avons également observé un appui à l’égard des investissements qui favoriseraient une croissance économique plus durable dans la province et plus d’emplois à long terme.</w:t>
      </w:r>
    </w:p>
    <w:p w14:paraId="1B86AF5E" w14:textId="77777777" w:rsidR="00CA41A3" w:rsidRPr="001B1235" w:rsidRDefault="00CA41A3" w:rsidP="00CA41A3">
      <w:pPr>
        <w:rPr>
          <w:lang w:val="fr-CA"/>
        </w:rPr>
      </w:pPr>
      <w:r w:rsidRPr="001B1235">
        <w:rPr>
          <w:lang w:val="fr-CA"/>
        </w:rPr>
        <w:lastRenderedPageBreak/>
        <w:t xml:space="preserve">À Yellowknife, les participants ont formulé un vaste éventail d’enjeux en réponse à la question sur les grandes préoccupations locales, dont l’itinérance, le coût élevé de la vie, la pénurie de logements abordables, la rareté des emplois et les bas salaires, un meilleur accès à l’éducation postsecondaire, du soutien pour les personnes aux prises avec des problèmes de santé mentale ou de toxicomanie et l’accès à des professionnels de la santé. Même si la contribution du gouvernement fédéral au financement de la construction d’un nouvel hôpital et de plusieurs autres améliorations aux infrastructures ainsi que l’aide financière offerte en réponse à la COVID-19 ont été reconnues, certains participants étaient contrariés, considérant que très peu d’attention était accordée aux Territoires. Selon eux, il en était ainsi à cause d’une sous-représentation au Parlement. Outre les enjeux mentionnés ci-dessus, les participants jugeaient que l’accès à Internet haute vitesse devait être une priorité du gouvernement du Canada. Ils ont souligné le coût élevé de l’accès à Internet, les problèmes de connectivité (p. ex., lenteur de la connexion Internet) et le manque de concurrence dans la région quant aux fournisseurs d’accès Internet. Les participants croyaient que le gouvernement fédéral devait favoriser une concurrence accrue dans la région, afin qu’ils puissent obtenir de meilleurs services, à moindre coût. </w:t>
      </w:r>
    </w:p>
    <w:p w14:paraId="19027461" w14:textId="77777777" w:rsidR="00CA41A3" w:rsidRPr="001B1235" w:rsidRDefault="00CA41A3" w:rsidP="00CA41A3">
      <w:pPr>
        <w:pStyle w:val="Heading2"/>
        <w:rPr>
          <w:lang w:val="fr-CA"/>
        </w:rPr>
      </w:pPr>
      <w:bookmarkStart w:id="37" w:name="_Toc58091224"/>
      <w:r w:rsidRPr="001B1235">
        <w:rPr>
          <w:lang w:val="fr-CA"/>
        </w:rPr>
        <w:t>Véhicules zéro émission (VZE) (nord de l’Alberta, Manitoba, Yellowknife, grandes villes de l’Ontario, villes de taille moyenne du sud et de l’est de l’Ontario, bénéficiaires de l’AE ou de prestations de relance habitant des villes de taille moyenne du Québec)</w:t>
      </w:r>
      <w:bookmarkEnd w:id="37"/>
    </w:p>
    <w:p w14:paraId="0E376ECE" w14:textId="77777777" w:rsidR="00CA41A3" w:rsidRPr="001B1235" w:rsidRDefault="00CA41A3" w:rsidP="00CA41A3">
      <w:pPr>
        <w:rPr>
          <w:lang w:val="fr-CA"/>
        </w:rPr>
      </w:pPr>
      <w:r w:rsidRPr="001B1235">
        <w:rPr>
          <w:lang w:val="fr-CA"/>
        </w:rPr>
        <w:t>La plupart des participants avaient entendu parler des véhicules zéro émission (VZE) et étaient enclins à en acheter un dans l’avenir. Ils comprenaient très bien les avantages pour l’environnement des VZE et la réduction de l’empreinte carbone qu’ils engendraient. Ils étaient aussi intrigués par le faible entretien exigé par ce type de véhicules et par l’arrivée de véhicules électriques plus puissants. Ce dernier point était particulièrement important pour ceux qui manifestaient un intérêt pour les camions et les véhicules utilitaires lourds. Les réactions ont cependant été tempérées en raison de préoccupations concernant le coût d’achat initial. Les participants avaient l’impression que les VZE coûtaient plus cher. Ils s’interrogeaient aussi sur l’autonomie de la batterie, l’élimination des batteries, la disponibilité des bornes de recharge et l’utilité de tels véhicules dans les régions éloignées et nordiques.</w:t>
      </w:r>
    </w:p>
    <w:p w14:paraId="7FA285D6" w14:textId="77777777" w:rsidR="00CA41A3" w:rsidRPr="001B1235" w:rsidRDefault="00CA41A3" w:rsidP="00CA41A3">
      <w:pPr>
        <w:rPr>
          <w:lang w:val="fr-CA"/>
        </w:rPr>
      </w:pPr>
      <w:r w:rsidRPr="001B1235">
        <w:rPr>
          <w:lang w:val="fr-CA"/>
        </w:rPr>
        <w:t>La majorité pensait que le prix des VZE au Canada finirait par se comparer à celui des autres véhicules équipés d’un moteur à combustion interne conventionnel, mais que cela n’arriverait pas de sitôt (pas avant 5 à 25 ans). Beaucoup de participants avaient de la difficulté à faire une prévision, car ils connaissaient peu cette technologie et les initiatives des différents acteurs de l’industrie automobile en la matière. D’autres ont parlé des impacts des VZE sur l’environnement en général pendant leur cycle de vie, de l’étape de la fabrication, en passant par leur utilisation, puis leur élimination. Ils ont également abordé la question de la valeur de revente.</w:t>
      </w:r>
    </w:p>
    <w:p w14:paraId="18F55B01" w14:textId="77777777" w:rsidR="00CA41A3" w:rsidRPr="001B1235" w:rsidRDefault="00CA41A3" w:rsidP="00CA41A3">
      <w:pPr>
        <w:rPr>
          <w:lang w:val="fr-CA"/>
        </w:rPr>
      </w:pPr>
      <w:r w:rsidRPr="001B1235">
        <w:rPr>
          <w:lang w:val="fr-CA"/>
        </w:rPr>
        <w:t xml:space="preserve">Les participants ont réagi à une récente annonce du gouvernement du Canada concernant le financement d’une usine d’assemblage de Ford à Oakville pour la fabrication de VZE. Certains étaient au courant de l’annonce. Qu’ils aient été familiers ou non avec l’investissement de 590 millions de dollars des gouvernements fédéral et ontarien dans l’usine de Ford à Oakville, les participants ont eu </w:t>
      </w:r>
      <w:r w:rsidRPr="001B1235">
        <w:rPr>
          <w:lang w:val="fr-CA"/>
        </w:rPr>
        <w:lastRenderedPageBreak/>
        <w:t>des réactions partagées. Quelques-uns appuyaient la promotion de cette technologie au Canada, tandis que d’autres remettaient en question l’idée d’accorder une somme si importante à une entreprise privée et se demandaient en quoi elle serait profitable pour la population canadienne.</w:t>
      </w:r>
    </w:p>
    <w:p w14:paraId="4A2A628E" w14:textId="7DF2D0EB" w:rsidR="00974C73" w:rsidRPr="00CE7E6A" w:rsidRDefault="00CA41A3" w:rsidP="00974C73">
      <w:pPr>
        <w:rPr>
          <w:lang w:val="fr-CA"/>
        </w:rPr>
      </w:pPr>
      <w:r w:rsidRPr="001B1235">
        <w:rPr>
          <w:lang w:val="fr-CA"/>
        </w:rPr>
        <w:t>Invités à se prononcer sur l’idée que le gouvernement du Canada établisse des objectifs quant au pourcentage de voitures électriques vendues au Canada ou exige que toutes les voitures neuves vendues au Canada soient des VZE d’ici 2035, les participants ont formulé des avis quelque peu variés. Certains se sont dits favorables, compte tenu des avantages environnementaux. D’autres craignaient les possibles défis engendrés par la géographie et le climat uniques du Canada et étaient réfractaires à toute initiative susceptible de porter atteinte à l’indépendance des consommateurs et de limiter leurs choix</w:t>
      </w:r>
      <w:r w:rsidR="00974C73" w:rsidRPr="00BD26CB">
        <w:rPr>
          <w:lang w:val="fr-CA"/>
        </w:rPr>
        <w:t>.</w:t>
      </w:r>
    </w:p>
    <w:p w14:paraId="5713B9A0" w14:textId="77777777" w:rsidR="00974C73" w:rsidRPr="0040455C" w:rsidRDefault="00974C73" w:rsidP="00974C73">
      <w:pPr>
        <w:pBdr>
          <w:top w:val="single" w:sz="4" w:space="1" w:color="auto"/>
          <w:bottom w:val="single" w:sz="4" w:space="1" w:color="auto"/>
        </w:pBdr>
        <w:spacing w:before="120" w:after="120" w:line="264" w:lineRule="auto"/>
        <w:rPr>
          <w:rFonts w:cs="Segoe UI"/>
          <w:b/>
          <w:kern w:val="18"/>
          <w:szCs w:val="18"/>
          <w:lang w:val="fr-CA"/>
        </w:rPr>
      </w:pPr>
      <w:bookmarkStart w:id="38" w:name="lt_pId426"/>
      <w:r w:rsidRPr="0040455C">
        <w:rPr>
          <w:rFonts w:cs="Segoe UI"/>
          <w:b/>
          <w:kern w:val="18"/>
          <w:szCs w:val="18"/>
          <w:lang w:val="fr-CA"/>
        </w:rPr>
        <w:t>COMPLÉMENT D’INFORMATION</w:t>
      </w:r>
      <w:bookmarkEnd w:id="38"/>
    </w:p>
    <w:p w14:paraId="10B582CD" w14:textId="68B87C87" w:rsidR="004A30FF" w:rsidRPr="0040455C" w:rsidRDefault="00974C73" w:rsidP="00974C73">
      <w:pPr>
        <w:pBdr>
          <w:top w:val="single" w:sz="4" w:space="1" w:color="auto"/>
          <w:bottom w:val="single" w:sz="4" w:space="1" w:color="auto"/>
        </w:pBdr>
        <w:spacing w:before="120" w:after="120" w:line="264" w:lineRule="auto"/>
        <w:rPr>
          <w:noProof/>
          <w:szCs w:val="18"/>
          <w:lang w:val="fr-CA"/>
        </w:rPr>
      </w:pPr>
      <w:bookmarkStart w:id="39" w:name="lt_pId427"/>
      <w:r w:rsidRPr="0040455C">
        <w:rPr>
          <w:noProof/>
          <w:szCs w:val="18"/>
          <w:lang w:val="fr-CA"/>
        </w:rPr>
        <w:t>The Strategic Counsel</w:t>
      </w:r>
      <w:bookmarkEnd w:id="39"/>
      <w:r w:rsidRPr="0040455C">
        <w:rPr>
          <w:noProof/>
          <w:szCs w:val="18"/>
          <w:lang w:val="fr-CA"/>
        </w:rPr>
        <w:br/>
      </w:r>
      <w:bookmarkStart w:id="40" w:name="lt_pId428"/>
      <w:r w:rsidRPr="0040455C">
        <w:rPr>
          <w:noProof/>
          <w:szCs w:val="18"/>
          <w:lang w:val="fr-CA"/>
        </w:rPr>
        <w:t>Numéro de contrat : 35035-182346/001/CY</w:t>
      </w:r>
      <w:bookmarkEnd w:id="40"/>
      <w:r w:rsidRPr="0040455C">
        <w:rPr>
          <w:noProof/>
          <w:szCs w:val="18"/>
          <w:lang w:val="fr-CA"/>
        </w:rPr>
        <w:br/>
      </w:r>
      <w:bookmarkStart w:id="41" w:name="lt_pId429"/>
      <w:r w:rsidRPr="0040455C">
        <w:rPr>
          <w:noProof/>
          <w:szCs w:val="18"/>
          <w:lang w:val="fr-CA"/>
        </w:rPr>
        <w:t xml:space="preserve">Date d’octroi du contrat : le </w:t>
      </w:r>
      <w:bookmarkEnd w:id="41"/>
      <w:r w:rsidR="00B0316E">
        <w:rPr>
          <w:lang w:val="fr-CA"/>
        </w:rPr>
        <w:t>18 décembre 2020</w:t>
      </w:r>
      <w:r w:rsidRPr="0040455C">
        <w:rPr>
          <w:noProof/>
          <w:szCs w:val="18"/>
          <w:lang w:val="fr-CA"/>
        </w:rPr>
        <w:br/>
      </w:r>
      <w:bookmarkStart w:id="42" w:name="lt_pId430"/>
      <w:r w:rsidRPr="0040455C">
        <w:rPr>
          <w:noProof/>
          <w:szCs w:val="18"/>
          <w:lang w:val="fr-CA"/>
        </w:rPr>
        <w:t>Valeur du contrat :</w:t>
      </w:r>
      <w:r w:rsidRPr="0040455C">
        <w:rPr>
          <w:szCs w:val="18"/>
          <w:lang w:val="fr-CA"/>
        </w:rPr>
        <w:t xml:space="preserve"> </w:t>
      </w:r>
      <w:bookmarkEnd w:id="42"/>
      <w:r w:rsidR="00B0316E">
        <w:rPr>
          <w:lang w:val="fr-CA"/>
        </w:rPr>
        <w:t>1 618 838,00</w:t>
      </w:r>
      <w:r w:rsidR="00B0316E" w:rsidRPr="0096449E">
        <w:rPr>
          <w:lang w:val="fr-CA"/>
        </w:rPr>
        <w:t> </w:t>
      </w:r>
      <w:r w:rsidRPr="0040455C">
        <w:rPr>
          <w:noProof/>
          <w:szCs w:val="18"/>
          <w:lang w:val="fr-CA"/>
        </w:rPr>
        <w:t>$</w:t>
      </w:r>
      <w:bookmarkStart w:id="43" w:name="_GoBack"/>
      <w:bookmarkEnd w:id="0"/>
      <w:bookmarkEnd w:id="43"/>
    </w:p>
    <w:sectPr w:rsidR="004A30FF" w:rsidRPr="0040455C" w:rsidSect="002B5D50">
      <w:headerReference w:type="default" r:id="rId11"/>
      <w:footerReference w:type="default" r:id="rId12"/>
      <w:pgSz w:w="12240" w:h="15840"/>
      <w:pgMar w:top="2160" w:right="1440" w:bottom="2160" w:left="1728" w:header="706" w:footer="706" w:gutter="0"/>
      <w:pgNumType w:start="0"/>
      <w:cols w:space="708"/>
      <w:titlePg/>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018E8" w16cex:dateUtc="2020-05-21T01:00:00Z"/>
  <w16cex:commentExtensible w16cex:durableId="226FE9CF" w16cex:dateUtc="2020-05-20T21:39:00Z"/>
  <w16cex:commentExtensible w16cex:durableId="226FEA65" w16cex:dateUtc="2020-05-20T21:41:00Z"/>
  <w16cex:commentExtensible w16cex:durableId="2270240D" w16cex:dateUtc="2020-05-21T01:47:00Z"/>
  <w16cex:commentExtensible w16cex:durableId="22702480" w16cex:dateUtc="2020-05-21T0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FB4DA4" w16cid:durableId="226FAAED"/>
  <w16cid:commentId w16cid:paraId="5AB513CD" w16cid:durableId="227018E8"/>
  <w16cid:commentId w16cid:paraId="6A2ECA57" w16cid:durableId="226FE9CF"/>
  <w16cid:commentId w16cid:paraId="5DAA6A1E" w16cid:durableId="226FEA65"/>
  <w16cid:commentId w16cid:paraId="299D79F1" w16cid:durableId="2270240D"/>
  <w16cid:commentId w16cid:paraId="0C5AB349" w16cid:durableId="227024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F759D" w14:textId="77777777" w:rsidR="009C108D" w:rsidRDefault="009C108D" w:rsidP="007C351A">
      <w:pPr>
        <w:spacing w:after="0"/>
      </w:pPr>
      <w:r>
        <w:separator/>
      </w:r>
    </w:p>
  </w:endnote>
  <w:endnote w:type="continuationSeparator" w:id="0">
    <w:p w14:paraId="58D13D21" w14:textId="77777777" w:rsidR="009C108D" w:rsidRDefault="009C108D" w:rsidP="007C35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B384D" w14:textId="0C7C7980" w:rsidR="007015EC" w:rsidRDefault="007015EC" w:rsidP="00B71F41">
    <w:pPr>
      <w:tabs>
        <w:tab w:val="right" w:pos="8910"/>
      </w:tabs>
    </w:pPr>
    <w:r>
      <w:tab/>
    </w:r>
    <w:r>
      <w:fldChar w:fldCharType="begin"/>
    </w:r>
    <w:r>
      <w:instrText xml:space="preserve"> PAGE   \* MERGEFORMAT </w:instrText>
    </w:r>
    <w:r>
      <w:fldChar w:fldCharType="separate"/>
    </w:r>
    <w:r w:rsidR="00B0316E">
      <w:rPr>
        <w:noProof/>
      </w:rPr>
      <w:t>17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361FB" w14:textId="77777777" w:rsidR="009C108D" w:rsidRDefault="009C108D" w:rsidP="007C351A">
      <w:pPr>
        <w:spacing w:after="0"/>
      </w:pPr>
      <w:r>
        <w:separator/>
      </w:r>
    </w:p>
  </w:footnote>
  <w:footnote w:type="continuationSeparator" w:id="0">
    <w:p w14:paraId="157E16A0" w14:textId="77777777" w:rsidR="009C108D" w:rsidRDefault="009C108D" w:rsidP="007C351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50923" w14:textId="77777777" w:rsidR="007015EC" w:rsidRDefault="007015EC">
    <w:r>
      <w:rPr>
        <w:noProof/>
        <w:lang w:eastAsia="en-CA"/>
      </w:rPr>
      <w:drawing>
        <wp:anchor distT="0" distB="0" distL="114300" distR="114300" simplePos="0" relativeHeight="251656704" behindDoc="0" locked="0" layoutInCell="1" allowOverlap="1" wp14:anchorId="3B15C0E6" wp14:editId="7018130F">
          <wp:simplePos x="0" y="0"/>
          <wp:positionH relativeFrom="margin">
            <wp:posOffset>-540385</wp:posOffset>
          </wp:positionH>
          <wp:positionV relativeFrom="paragraph">
            <wp:posOffset>-6985</wp:posOffset>
          </wp:positionV>
          <wp:extent cx="2155825" cy="866140"/>
          <wp:effectExtent l="0" t="0" r="0" b="0"/>
          <wp:wrapNone/>
          <wp:docPr id="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866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74FD"/>
    <w:multiLevelType w:val="hybridMultilevel"/>
    <w:tmpl w:val="D9AC3CEC"/>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
    <w:nsid w:val="01055CC6"/>
    <w:multiLevelType w:val="multilevel"/>
    <w:tmpl w:val="BDC0EABE"/>
    <w:name w:val="TSC"/>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242C5461"/>
    <w:multiLevelType w:val="hybridMultilevel"/>
    <w:tmpl w:val="BDD882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F1E4BF0"/>
    <w:multiLevelType w:val="hybridMultilevel"/>
    <w:tmpl w:val="EB62CD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57B7BE3"/>
    <w:multiLevelType w:val="hybridMultilevel"/>
    <w:tmpl w:val="243A3E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CE56A21"/>
    <w:multiLevelType w:val="hybridMultilevel"/>
    <w:tmpl w:val="7DFA5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A6D745C"/>
    <w:multiLevelType w:val="hybridMultilevel"/>
    <w:tmpl w:val="618224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EF85095"/>
    <w:multiLevelType w:val="hybridMultilevel"/>
    <w:tmpl w:val="833E551A"/>
    <w:lvl w:ilvl="0" w:tplc="3558FBAE">
      <w:start w:val="1"/>
      <w:numFmt w:val="bullet"/>
      <w:pStyle w:val="ListParagraph"/>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50453832"/>
    <w:multiLevelType w:val="hybridMultilevel"/>
    <w:tmpl w:val="3AC86C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1FC6DA5"/>
    <w:multiLevelType w:val="hybridMultilevel"/>
    <w:tmpl w:val="61D23E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DCD54C8"/>
    <w:multiLevelType w:val="hybridMultilevel"/>
    <w:tmpl w:val="7FBA60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AEB1264"/>
    <w:multiLevelType w:val="hybridMultilevel"/>
    <w:tmpl w:val="1A8A9038"/>
    <w:lvl w:ilvl="0" w:tplc="18B4F6D0">
      <w:start w:val="1"/>
      <w:numFmt w:val="decimal"/>
      <w:pStyle w:val="Question-AutoNumb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12">
    <w:nsid w:val="78275069"/>
    <w:multiLevelType w:val="hybridMultilevel"/>
    <w:tmpl w:val="4AF2A9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DF27515"/>
    <w:multiLevelType w:val="hybridMultilevel"/>
    <w:tmpl w:val="EEE41F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2"/>
  </w:num>
  <w:num w:numId="4">
    <w:abstractNumId w:val="5"/>
  </w:num>
  <w:num w:numId="5">
    <w:abstractNumId w:val="6"/>
  </w:num>
  <w:num w:numId="6">
    <w:abstractNumId w:val="0"/>
  </w:num>
  <w:num w:numId="7">
    <w:abstractNumId w:val="8"/>
  </w:num>
  <w:num w:numId="8">
    <w:abstractNumId w:val="9"/>
  </w:num>
  <w:num w:numId="9">
    <w:abstractNumId w:val="3"/>
  </w:num>
  <w:num w:numId="10">
    <w:abstractNumId w:val="10"/>
  </w:num>
  <w:num w:numId="11">
    <w:abstractNumId w:val="12"/>
  </w:num>
  <w:num w:numId="12">
    <w:abstractNumId w:val="13"/>
  </w:num>
  <w:num w:numId="1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1A"/>
    <w:rsid w:val="000002B4"/>
    <w:rsid w:val="00000DCC"/>
    <w:rsid w:val="0000125F"/>
    <w:rsid w:val="000018E3"/>
    <w:rsid w:val="00001C10"/>
    <w:rsid w:val="0000291C"/>
    <w:rsid w:val="00003C51"/>
    <w:rsid w:val="00004C2E"/>
    <w:rsid w:val="0000597D"/>
    <w:rsid w:val="00005D48"/>
    <w:rsid w:val="00006A40"/>
    <w:rsid w:val="00006C00"/>
    <w:rsid w:val="00007428"/>
    <w:rsid w:val="00007DA8"/>
    <w:rsid w:val="00010E65"/>
    <w:rsid w:val="00010EE9"/>
    <w:rsid w:val="00010F53"/>
    <w:rsid w:val="000123A8"/>
    <w:rsid w:val="0001345E"/>
    <w:rsid w:val="0001459A"/>
    <w:rsid w:val="00015CC2"/>
    <w:rsid w:val="00015E5A"/>
    <w:rsid w:val="000172BB"/>
    <w:rsid w:val="00017819"/>
    <w:rsid w:val="00020B39"/>
    <w:rsid w:val="00021953"/>
    <w:rsid w:val="0002209E"/>
    <w:rsid w:val="00023211"/>
    <w:rsid w:val="00023790"/>
    <w:rsid w:val="000241BF"/>
    <w:rsid w:val="000251CC"/>
    <w:rsid w:val="00025E34"/>
    <w:rsid w:val="00025EA3"/>
    <w:rsid w:val="00026012"/>
    <w:rsid w:val="000260D9"/>
    <w:rsid w:val="00026E3E"/>
    <w:rsid w:val="00026FE6"/>
    <w:rsid w:val="00027B6C"/>
    <w:rsid w:val="00027B85"/>
    <w:rsid w:val="00027DC1"/>
    <w:rsid w:val="000309F7"/>
    <w:rsid w:val="00030C65"/>
    <w:rsid w:val="00030CA8"/>
    <w:rsid w:val="00030D92"/>
    <w:rsid w:val="0003114F"/>
    <w:rsid w:val="000318B3"/>
    <w:rsid w:val="000324FF"/>
    <w:rsid w:val="00033015"/>
    <w:rsid w:val="00033706"/>
    <w:rsid w:val="0003486A"/>
    <w:rsid w:val="000359B8"/>
    <w:rsid w:val="00035E82"/>
    <w:rsid w:val="00037752"/>
    <w:rsid w:val="0004105B"/>
    <w:rsid w:val="000412E5"/>
    <w:rsid w:val="0004190E"/>
    <w:rsid w:val="0004265E"/>
    <w:rsid w:val="00043882"/>
    <w:rsid w:val="00044690"/>
    <w:rsid w:val="00044AA3"/>
    <w:rsid w:val="00044D1C"/>
    <w:rsid w:val="000467D8"/>
    <w:rsid w:val="000470C3"/>
    <w:rsid w:val="000474D7"/>
    <w:rsid w:val="00047CB0"/>
    <w:rsid w:val="00050723"/>
    <w:rsid w:val="00051BEF"/>
    <w:rsid w:val="00051E5C"/>
    <w:rsid w:val="0005276A"/>
    <w:rsid w:val="00052CD7"/>
    <w:rsid w:val="00052F08"/>
    <w:rsid w:val="00052F67"/>
    <w:rsid w:val="00053CF2"/>
    <w:rsid w:val="0005422F"/>
    <w:rsid w:val="00054A9F"/>
    <w:rsid w:val="00054FAC"/>
    <w:rsid w:val="000551E1"/>
    <w:rsid w:val="00055E7A"/>
    <w:rsid w:val="00055FF2"/>
    <w:rsid w:val="00057052"/>
    <w:rsid w:val="000574CD"/>
    <w:rsid w:val="000605F6"/>
    <w:rsid w:val="00060BAB"/>
    <w:rsid w:val="00060C99"/>
    <w:rsid w:val="00060D2E"/>
    <w:rsid w:val="00061D63"/>
    <w:rsid w:val="000641D4"/>
    <w:rsid w:val="00065618"/>
    <w:rsid w:val="00065635"/>
    <w:rsid w:val="00065A53"/>
    <w:rsid w:val="000663C0"/>
    <w:rsid w:val="00067EE9"/>
    <w:rsid w:val="00070593"/>
    <w:rsid w:val="00072300"/>
    <w:rsid w:val="00072BF5"/>
    <w:rsid w:val="000734B3"/>
    <w:rsid w:val="00073989"/>
    <w:rsid w:val="00075612"/>
    <w:rsid w:val="0007588E"/>
    <w:rsid w:val="00076F37"/>
    <w:rsid w:val="00077B4F"/>
    <w:rsid w:val="00077F2C"/>
    <w:rsid w:val="00077F87"/>
    <w:rsid w:val="00082079"/>
    <w:rsid w:val="00082484"/>
    <w:rsid w:val="000828ED"/>
    <w:rsid w:val="00083CC0"/>
    <w:rsid w:val="00084C5F"/>
    <w:rsid w:val="00085F39"/>
    <w:rsid w:val="00086FCB"/>
    <w:rsid w:val="000915B2"/>
    <w:rsid w:val="00091BD1"/>
    <w:rsid w:val="00092506"/>
    <w:rsid w:val="00092CCD"/>
    <w:rsid w:val="00093429"/>
    <w:rsid w:val="000944F4"/>
    <w:rsid w:val="000A0805"/>
    <w:rsid w:val="000A132E"/>
    <w:rsid w:val="000A1E23"/>
    <w:rsid w:val="000A301F"/>
    <w:rsid w:val="000A51AB"/>
    <w:rsid w:val="000A59DE"/>
    <w:rsid w:val="000A5D4D"/>
    <w:rsid w:val="000A64CD"/>
    <w:rsid w:val="000A6C34"/>
    <w:rsid w:val="000A74A8"/>
    <w:rsid w:val="000B1628"/>
    <w:rsid w:val="000B1F0A"/>
    <w:rsid w:val="000B25B4"/>
    <w:rsid w:val="000B2837"/>
    <w:rsid w:val="000B2FCA"/>
    <w:rsid w:val="000B37DD"/>
    <w:rsid w:val="000B3CC6"/>
    <w:rsid w:val="000B3CCE"/>
    <w:rsid w:val="000B4E54"/>
    <w:rsid w:val="000C16A8"/>
    <w:rsid w:val="000C1DBE"/>
    <w:rsid w:val="000C25C6"/>
    <w:rsid w:val="000C3432"/>
    <w:rsid w:val="000C479E"/>
    <w:rsid w:val="000C530C"/>
    <w:rsid w:val="000C5B22"/>
    <w:rsid w:val="000C5C86"/>
    <w:rsid w:val="000C73A8"/>
    <w:rsid w:val="000D0344"/>
    <w:rsid w:val="000D0618"/>
    <w:rsid w:val="000D0E04"/>
    <w:rsid w:val="000D160D"/>
    <w:rsid w:val="000D1838"/>
    <w:rsid w:val="000D1DA3"/>
    <w:rsid w:val="000D1E2E"/>
    <w:rsid w:val="000D221D"/>
    <w:rsid w:val="000D255B"/>
    <w:rsid w:val="000D26E6"/>
    <w:rsid w:val="000D2737"/>
    <w:rsid w:val="000D3A64"/>
    <w:rsid w:val="000D51C8"/>
    <w:rsid w:val="000D660A"/>
    <w:rsid w:val="000D6F96"/>
    <w:rsid w:val="000D7AD6"/>
    <w:rsid w:val="000E0018"/>
    <w:rsid w:val="000E04E8"/>
    <w:rsid w:val="000E0874"/>
    <w:rsid w:val="000E0B3E"/>
    <w:rsid w:val="000E18A6"/>
    <w:rsid w:val="000E1E64"/>
    <w:rsid w:val="000E299A"/>
    <w:rsid w:val="000E7EC5"/>
    <w:rsid w:val="000F0F8B"/>
    <w:rsid w:val="000F15CC"/>
    <w:rsid w:val="000F2D94"/>
    <w:rsid w:val="000F38B3"/>
    <w:rsid w:val="000F3A8B"/>
    <w:rsid w:val="000F3E7A"/>
    <w:rsid w:val="000F434F"/>
    <w:rsid w:val="000F466B"/>
    <w:rsid w:val="000F4705"/>
    <w:rsid w:val="000F61A0"/>
    <w:rsid w:val="000F6A84"/>
    <w:rsid w:val="000F6F53"/>
    <w:rsid w:val="000F7D2A"/>
    <w:rsid w:val="000F7FD6"/>
    <w:rsid w:val="001004B9"/>
    <w:rsid w:val="00100704"/>
    <w:rsid w:val="00100774"/>
    <w:rsid w:val="00101A33"/>
    <w:rsid w:val="00101F9A"/>
    <w:rsid w:val="00102D81"/>
    <w:rsid w:val="001037C2"/>
    <w:rsid w:val="00104565"/>
    <w:rsid w:val="00104A94"/>
    <w:rsid w:val="00104B88"/>
    <w:rsid w:val="00104D0B"/>
    <w:rsid w:val="00105871"/>
    <w:rsid w:val="00106620"/>
    <w:rsid w:val="001066D8"/>
    <w:rsid w:val="0010783F"/>
    <w:rsid w:val="0011229B"/>
    <w:rsid w:val="001122DC"/>
    <w:rsid w:val="00112A3B"/>
    <w:rsid w:val="00112CCA"/>
    <w:rsid w:val="00113137"/>
    <w:rsid w:val="0011447B"/>
    <w:rsid w:val="001146EF"/>
    <w:rsid w:val="00114BF5"/>
    <w:rsid w:val="00114D0C"/>
    <w:rsid w:val="00115043"/>
    <w:rsid w:val="00115564"/>
    <w:rsid w:val="001160FF"/>
    <w:rsid w:val="00116E50"/>
    <w:rsid w:val="001203E8"/>
    <w:rsid w:val="00121E4A"/>
    <w:rsid w:val="0012220A"/>
    <w:rsid w:val="00122391"/>
    <w:rsid w:val="00122398"/>
    <w:rsid w:val="001230DE"/>
    <w:rsid w:val="001239E2"/>
    <w:rsid w:val="00123C30"/>
    <w:rsid w:val="00123D69"/>
    <w:rsid w:val="0012477E"/>
    <w:rsid w:val="00124B9D"/>
    <w:rsid w:val="00126AE6"/>
    <w:rsid w:val="00127360"/>
    <w:rsid w:val="00131C9D"/>
    <w:rsid w:val="001322EE"/>
    <w:rsid w:val="00132589"/>
    <w:rsid w:val="001326BC"/>
    <w:rsid w:val="001336D8"/>
    <w:rsid w:val="00133AB9"/>
    <w:rsid w:val="001343AD"/>
    <w:rsid w:val="00134AEF"/>
    <w:rsid w:val="00135B91"/>
    <w:rsid w:val="00136899"/>
    <w:rsid w:val="001373AD"/>
    <w:rsid w:val="00140B04"/>
    <w:rsid w:val="00140B3B"/>
    <w:rsid w:val="001417DE"/>
    <w:rsid w:val="00141E87"/>
    <w:rsid w:val="00142A46"/>
    <w:rsid w:val="00142C29"/>
    <w:rsid w:val="0014419B"/>
    <w:rsid w:val="001444D1"/>
    <w:rsid w:val="00144A58"/>
    <w:rsid w:val="00145C47"/>
    <w:rsid w:val="00146BDE"/>
    <w:rsid w:val="00146CFE"/>
    <w:rsid w:val="00147866"/>
    <w:rsid w:val="0014790B"/>
    <w:rsid w:val="001479B8"/>
    <w:rsid w:val="0015039B"/>
    <w:rsid w:val="00150F40"/>
    <w:rsid w:val="001518AE"/>
    <w:rsid w:val="00151D58"/>
    <w:rsid w:val="00152CE5"/>
    <w:rsid w:val="00153930"/>
    <w:rsid w:val="00155A11"/>
    <w:rsid w:val="00155F95"/>
    <w:rsid w:val="00157627"/>
    <w:rsid w:val="001619F4"/>
    <w:rsid w:val="00162526"/>
    <w:rsid w:val="00162E8F"/>
    <w:rsid w:val="0016365E"/>
    <w:rsid w:val="00163AC2"/>
    <w:rsid w:val="001643CC"/>
    <w:rsid w:val="0016535A"/>
    <w:rsid w:val="00165EAC"/>
    <w:rsid w:val="00166F57"/>
    <w:rsid w:val="00170613"/>
    <w:rsid w:val="001712EF"/>
    <w:rsid w:val="001715ED"/>
    <w:rsid w:val="00171AC6"/>
    <w:rsid w:val="00172845"/>
    <w:rsid w:val="0017371F"/>
    <w:rsid w:val="0017431F"/>
    <w:rsid w:val="001746E8"/>
    <w:rsid w:val="00174838"/>
    <w:rsid w:val="00174E51"/>
    <w:rsid w:val="00176502"/>
    <w:rsid w:val="00176595"/>
    <w:rsid w:val="00176DC0"/>
    <w:rsid w:val="001808AC"/>
    <w:rsid w:val="00180CB8"/>
    <w:rsid w:val="00180F85"/>
    <w:rsid w:val="00180FB8"/>
    <w:rsid w:val="001828D8"/>
    <w:rsid w:val="001828DE"/>
    <w:rsid w:val="00182907"/>
    <w:rsid w:val="00182964"/>
    <w:rsid w:val="0018316A"/>
    <w:rsid w:val="00183B2E"/>
    <w:rsid w:val="0018456A"/>
    <w:rsid w:val="00184D63"/>
    <w:rsid w:val="00185613"/>
    <w:rsid w:val="00185BDE"/>
    <w:rsid w:val="001860F3"/>
    <w:rsid w:val="0018743A"/>
    <w:rsid w:val="00190B01"/>
    <w:rsid w:val="00191A25"/>
    <w:rsid w:val="00191AF0"/>
    <w:rsid w:val="001929AA"/>
    <w:rsid w:val="001937B7"/>
    <w:rsid w:val="00193E53"/>
    <w:rsid w:val="00194D01"/>
    <w:rsid w:val="00195B75"/>
    <w:rsid w:val="00196955"/>
    <w:rsid w:val="00196990"/>
    <w:rsid w:val="001975A6"/>
    <w:rsid w:val="001976BD"/>
    <w:rsid w:val="001A0C13"/>
    <w:rsid w:val="001A182C"/>
    <w:rsid w:val="001A213A"/>
    <w:rsid w:val="001A5DB2"/>
    <w:rsid w:val="001A6326"/>
    <w:rsid w:val="001A79B6"/>
    <w:rsid w:val="001B098F"/>
    <w:rsid w:val="001B1CFC"/>
    <w:rsid w:val="001B273D"/>
    <w:rsid w:val="001B2E8C"/>
    <w:rsid w:val="001B3ABB"/>
    <w:rsid w:val="001B3C17"/>
    <w:rsid w:val="001B45F2"/>
    <w:rsid w:val="001B5592"/>
    <w:rsid w:val="001B6BBF"/>
    <w:rsid w:val="001B6F44"/>
    <w:rsid w:val="001B74C1"/>
    <w:rsid w:val="001B78D8"/>
    <w:rsid w:val="001B791C"/>
    <w:rsid w:val="001B7FDC"/>
    <w:rsid w:val="001C0DB7"/>
    <w:rsid w:val="001C2E42"/>
    <w:rsid w:val="001C531E"/>
    <w:rsid w:val="001C59D7"/>
    <w:rsid w:val="001C62AA"/>
    <w:rsid w:val="001C6679"/>
    <w:rsid w:val="001C6DC8"/>
    <w:rsid w:val="001C72D1"/>
    <w:rsid w:val="001D09B9"/>
    <w:rsid w:val="001D0C4A"/>
    <w:rsid w:val="001D1000"/>
    <w:rsid w:val="001D1D34"/>
    <w:rsid w:val="001D2A7A"/>
    <w:rsid w:val="001D2A8E"/>
    <w:rsid w:val="001D3D58"/>
    <w:rsid w:val="001D494B"/>
    <w:rsid w:val="001D4D30"/>
    <w:rsid w:val="001D4FBF"/>
    <w:rsid w:val="001D5182"/>
    <w:rsid w:val="001D62C5"/>
    <w:rsid w:val="001D7174"/>
    <w:rsid w:val="001D731B"/>
    <w:rsid w:val="001D7BEA"/>
    <w:rsid w:val="001E07BE"/>
    <w:rsid w:val="001E260C"/>
    <w:rsid w:val="001E2EA0"/>
    <w:rsid w:val="001E5387"/>
    <w:rsid w:val="001E567A"/>
    <w:rsid w:val="001E5BFF"/>
    <w:rsid w:val="001E5FA7"/>
    <w:rsid w:val="001E64B4"/>
    <w:rsid w:val="001E658D"/>
    <w:rsid w:val="001E79DC"/>
    <w:rsid w:val="001F017B"/>
    <w:rsid w:val="001F1006"/>
    <w:rsid w:val="001F1148"/>
    <w:rsid w:val="001F2407"/>
    <w:rsid w:val="001F45C3"/>
    <w:rsid w:val="001F61B9"/>
    <w:rsid w:val="001F6ACA"/>
    <w:rsid w:val="00200185"/>
    <w:rsid w:val="00200E3B"/>
    <w:rsid w:val="0020275D"/>
    <w:rsid w:val="002039AE"/>
    <w:rsid w:val="00203A9F"/>
    <w:rsid w:val="00203CD0"/>
    <w:rsid w:val="0020429E"/>
    <w:rsid w:val="002042AA"/>
    <w:rsid w:val="00205839"/>
    <w:rsid w:val="00205D75"/>
    <w:rsid w:val="0020609E"/>
    <w:rsid w:val="00206766"/>
    <w:rsid w:val="00206A69"/>
    <w:rsid w:val="00207312"/>
    <w:rsid w:val="00207859"/>
    <w:rsid w:val="002100E2"/>
    <w:rsid w:val="0021165E"/>
    <w:rsid w:val="002116BE"/>
    <w:rsid w:val="002119DD"/>
    <w:rsid w:val="00212A06"/>
    <w:rsid w:val="00212A1E"/>
    <w:rsid w:val="00212E44"/>
    <w:rsid w:val="002133D1"/>
    <w:rsid w:val="002136DD"/>
    <w:rsid w:val="002139B6"/>
    <w:rsid w:val="00213B3C"/>
    <w:rsid w:val="002150FB"/>
    <w:rsid w:val="00215166"/>
    <w:rsid w:val="002167D8"/>
    <w:rsid w:val="00217893"/>
    <w:rsid w:val="00220F93"/>
    <w:rsid w:val="002224B8"/>
    <w:rsid w:val="00223F06"/>
    <w:rsid w:val="002243B9"/>
    <w:rsid w:val="00224594"/>
    <w:rsid w:val="00225D75"/>
    <w:rsid w:val="00226E5B"/>
    <w:rsid w:val="00227DA6"/>
    <w:rsid w:val="00230106"/>
    <w:rsid w:val="00230256"/>
    <w:rsid w:val="00231F22"/>
    <w:rsid w:val="00232855"/>
    <w:rsid w:val="00232B61"/>
    <w:rsid w:val="00233304"/>
    <w:rsid w:val="00233414"/>
    <w:rsid w:val="002334DF"/>
    <w:rsid w:val="00233551"/>
    <w:rsid w:val="00233F21"/>
    <w:rsid w:val="002358C6"/>
    <w:rsid w:val="00240E13"/>
    <w:rsid w:val="002410DF"/>
    <w:rsid w:val="0024162C"/>
    <w:rsid w:val="00242522"/>
    <w:rsid w:val="00243D10"/>
    <w:rsid w:val="002448D2"/>
    <w:rsid w:val="00246EC6"/>
    <w:rsid w:val="00247EC3"/>
    <w:rsid w:val="00250785"/>
    <w:rsid w:val="00253CCD"/>
    <w:rsid w:val="002563E0"/>
    <w:rsid w:val="002578CF"/>
    <w:rsid w:val="00257DBF"/>
    <w:rsid w:val="00260B45"/>
    <w:rsid w:val="00261443"/>
    <w:rsid w:val="00261CCA"/>
    <w:rsid w:val="00261E5E"/>
    <w:rsid w:val="00262423"/>
    <w:rsid w:val="0026384B"/>
    <w:rsid w:val="0026505B"/>
    <w:rsid w:val="0026562A"/>
    <w:rsid w:val="0026570D"/>
    <w:rsid w:val="0026687B"/>
    <w:rsid w:val="00266D37"/>
    <w:rsid w:val="00267214"/>
    <w:rsid w:val="00267EFB"/>
    <w:rsid w:val="0027089E"/>
    <w:rsid w:val="002719F7"/>
    <w:rsid w:val="002725E5"/>
    <w:rsid w:val="002739CB"/>
    <w:rsid w:val="00273FAA"/>
    <w:rsid w:val="00274161"/>
    <w:rsid w:val="00274FCD"/>
    <w:rsid w:val="00275C5C"/>
    <w:rsid w:val="0027644C"/>
    <w:rsid w:val="002766E6"/>
    <w:rsid w:val="002776A8"/>
    <w:rsid w:val="0028057C"/>
    <w:rsid w:val="00281606"/>
    <w:rsid w:val="00281D53"/>
    <w:rsid w:val="00282BE2"/>
    <w:rsid w:val="00283683"/>
    <w:rsid w:val="002837B3"/>
    <w:rsid w:val="002857E4"/>
    <w:rsid w:val="002901F5"/>
    <w:rsid w:val="002904A6"/>
    <w:rsid w:val="00291F31"/>
    <w:rsid w:val="002925A3"/>
    <w:rsid w:val="00292DEC"/>
    <w:rsid w:val="002931D0"/>
    <w:rsid w:val="0029324C"/>
    <w:rsid w:val="0029391F"/>
    <w:rsid w:val="00293AA9"/>
    <w:rsid w:val="002955F5"/>
    <w:rsid w:val="00295991"/>
    <w:rsid w:val="00295B46"/>
    <w:rsid w:val="00295F67"/>
    <w:rsid w:val="00295FB8"/>
    <w:rsid w:val="0029743B"/>
    <w:rsid w:val="0029746D"/>
    <w:rsid w:val="002A1FE1"/>
    <w:rsid w:val="002A354A"/>
    <w:rsid w:val="002A371F"/>
    <w:rsid w:val="002A5A50"/>
    <w:rsid w:val="002A5DA2"/>
    <w:rsid w:val="002A6DA9"/>
    <w:rsid w:val="002A72B6"/>
    <w:rsid w:val="002B03FC"/>
    <w:rsid w:val="002B0B8D"/>
    <w:rsid w:val="002B191C"/>
    <w:rsid w:val="002B1D9D"/>
    <w:rsid w:val="002B341A"/>
    <w:rsid w:val="002B3A66"/>
    <w:rsid w:val="002B404F"/>
    <w:rsid w:val="002B5474"/>
    <w:rsid w:val="002B5D50"/>
    <w:rsid w:val="002B6988"/>
    <w:rsid w:val="002B6B35"/>
    <w:rsid w:val="002C0197"/>
    <w:rsid w:val="002C08B6"/>
    <w:rsid w:val="002C12D9"/>
    <w:rsid w:val="002C1A1F"/>
    <w:rsid w:val="002C1B24"/>
    <w:rsid w:val="002C465D"/>
    <w:rsid w:val="002C478D"/>
    <w:rsid w:val="002C5047"/>
    <w:rsid w:val="002C5575"/>
    <w:rsid w:val="002C5896"/>
    <w:rsid w:val="002C746B"/>
    <w:rsid w:val="002D0424"/>
    <w:rsid w:val="002D05FC"/>
    <w:rsid w:val="002D08BC"/>
    <w:rsid w:val="002D317C"/>
    <w:rsid w:val="002D5122"/>
    <w:rsid w:val="002D54B9"/>
    <w:rsid w:val="002D5CB4"/>
    <w:rsid w:val="002D6496"/>
    <w:rsid w:val="002D660A"/>
    <w:rsid w:val="002E0576"/>
    <w:rsid w:val="002E0C93"/>
    <w:rsid w:val="002E2747"/>
    <w:rsid w:val="002E3D8D"/>
    <w:rsid w:val="002E48D4"/>
    <w:rsid w:val="002E54A6"/>
    <w:rsid w:val="002E595B"/>
    <w:rsid w:val="002E5D83"/>
    <w:rsid w:val="002E62E3"/>
    <w:rsid w:val="002E67A4"/>
    <w:rsid w:val="002E6B0F"/>
    <w:rsid w:val="002E745C"/>
    <w:rsid w:val="002F109B"/>
    <w:rsid w:val="002F16AD"/>
    <w:rsid w:val="002F2148"/>
    <w:rsid w:val="002F2B72"/>
    <w:rsid w:val="002F31DC"/>
    <w:rsid w:val="002F3973"/>
    <w:rsid w:val="002F48F6"/>
    <w:rsid w:val="002F48F8"/>
    <w:rsid w:val="002F4990"/>
    <w:rsid w:val="002F5140"/>
    <w:rsid w:val="002F518D"/>
    <w:rsid w:val="002F57BA"/>
    <w:rsid w:val="002F6953"/>
    <w:rsid w:val="002F6D9B"/>
    <w:rsid w:val="002F6E0F"/>
    <w:rsid w:val="002F7E17"/>
    <w:rsid w:val="003004FD"/>
    <w:rsid w:val="003007B2"/>
    <w:rsid w:val="00301406"/>
    <w:rsid w:val="0030332D"/>
    <w:rsid w:val="003044A6"/>
    <w:rsid w:val="003048D4"/>
    <w:rsid w:val="00304B5D"/>
    <w:rsid w:val="00306466"/>
    <w:rsid w:val="0030739F"/>
    <w:rsid w:val="00307AAE"/>
    <w:rsid w:val="00312FBA"/>
    <w:rsid w:val="00313C39"/>
    <w:rsid w:val="00316D62"/>
    <w:rsid w:val="00317138"/>
    <w:rsid w:val="003204E5"/>
    <w:rsid w:val="00321105"/>
    <w:rsid w:val="00321B71"/>
    <w:rsid w:val="00321F11"/>
    <w:rsid w:val="00321F60"/>
    <w:rsid w:val="003224DD"/>
    <w:rsid w:val="00322504"/>
    <w:rsid w:val="00324286"/>
    <w:rsid w:val="00325760"/>
    <w:rsid w:val="00325C02"/>
    <w:rsid w:val="00331796"/>
    <w:rsid w:val="00332432"/>
    <w:rsid w:val="0033292B"/>
    <w:rsid w:val="00332989"/>
    <w:rsid w:val="00333028"/>
    <w:rsid w:val="003337AB"/>
    <w:rsid w:val="00334764"/>
    <w:rsid w:val="00334EA7"/>
    <w:rsid w:val="0033646D"/>
    <w:rsid w:val="0033713E"/>
    <w:rsid w:val="00337271"/>
    <w:rsid w:val="00337411"/>
    <w:rsid w:val="00340B67"/>
    <w:rsid w:val="00340E50"/>
    <w:rsid w:val="003411C3"/>
    <w:rsid w:val="00341356"/>
    <w:rsid w:val="003467A2"/>
    <w:rsid w:val="00346B20"/>
    <w:rsid w:val="003473FA"/>
    <w:rsid w:val="00350694"/>
    <w:rsid w:val="00351234"/>
    <w:rsid w:val="0035124D"/>
    <w:rsid w:val="0035186F"/>
    <w:rsid w:val="003542D8"/>
    <w:rsid w:val="00355549"/>
    <w:rsid w:val="00355FED"/>
    <w:rsid w:val="00356715"/>
    <w:rsid w:val="003568D2"/>
    <w:rsid w:val="00356D18"/>
    <w:rsid w:val="003570C6"/>
    <w:rsid w:val="00360073"/>
    <w:rsid w:val="003610FF"/>
    <w:rsid w:val="00361178"/>
    <w:rsid w:val="003626A2"/>
    <w:rsid w:val="003636CC"/>
    <w:rsid w:val="00365019"/>
    <w:rsid w:val="00366E1A"/>
    <w:rsid w:val="00372760"/>
    <w:rsid w:val="003729DC"/>
    <w:rsid w:val="003732D7"/>
    <w:rsid w:val="00373CBE"/>
    <w:rsid w:val="00373E10"/>
    <w:rsid w:val="003749EF"/>
    <w:rsid w:val="0037592F"/>
    <w:rsid w:val="0037598D"/>
    <w:rsid w:val="00376DF6"/>
    <w:rsid w:val="00377602"/>
    <w:rsid w:val="00380AEF"/>
    <w:rsid w:val="003812D9"/>
    <w:rsid w:val="00381351"/>
    <w:rsid w:val="00381502"/>
    <w:rsid w:val="0038277E"/>
    <w:rsid w:val="00382C2F"/>
    <w:rsid w:val="00383681"/>
    <w:rsid w:val="00383E9A"/>
    <w:rsid w:val="00384B50"/>
    <w:rsid w:val="003919F8"/>
    <w:rsid w:val="00391FC4"/>
    <w:rsid w:val="00392E24"/>
    <w:rsid w:val="00393DBE"/>
    <w:rsid w:val="003943A4"/>
    <w:rsid w:val="0039692E"/>
    <w:rsid w:val="00396F29"/>
    <w:rsid w:val="003970D4"/>
    <w:rsid w:val="003A0750"/>
    <w:rsid w:val="003A0766"/>
    <w:rsid w:val="003A0B28"/>
    <w:rsid w:val="003A15B6"/>
    <w:rsid w:val="003A1E47"/>
    <w:rsid w:val="003A23C4"/>
    <w:rsid w:val="003A29AA"/>
    <w:rsid w:val="003A4A48"/>
    <w:rsid w:val="003A4B93"/>
    <w:rsid w:val="003A5BDA"/>
    <w:rsid w:val="003A62DB"/>
    <w:rsid w:val="003A6818"/>
    <w:rsid w:val="003A7C4A"/>
    <w:rsid w:val="003B0A85"/>
    <w:rsid w:val="003B0D3A"/>
    <w:rsid w:val="003B1A73"/>
    <w:rsid w:val="003B2AEE"/>
    <w:rsid w:val="003B2AF4"/>
    <w:rsid w:val="003B519A"/>
    <w:rsid w:val="003B5674"/>
    <w:rsid w:val="003B56B3"/>
    <w:rsid w:val="003B5E22"/>
    <w:rsid w:val="003B7505"/>
    <w:rsid w:val="003B7AFF"/>
    <w:rsid w:val="003B7CAD"/>
    <w:rsid w:val="003C103C"/>
    <w:rsid w:val="003C1165"/>
    <w:rsid w:val="003C15B6"/>
    <w:rsid w:val="003C2F34"/>
    <w:rsid w:val="003C35DC"/>
    <w:rsid w:val="003C3656"/>
    <w:rsid w:val="003C37A5"/>
    <w:rsid w:val="003C4607"/>
    <w:rsid w:val="003C5540"/>
    <w:rsid w:val="003C5C27"/>
    <w:rsid w:val="003C5E6E"/>
    <w:rsid w:val="003C66D6"/>
    <w:rsid w:val="003C6A97"/>
    <w:rsid w:val="003C75BD"/>
    <w:rsid w:val="003C7BE6"/>
    <w:rsid w:val="003D019B"/>
    <w:rsid w:val="003D23C6"/>
    <w:rsid w:val="003D2BF5"/>
    <w:rsid w:val="003D3BBC"/>
    <w:rsid w:val="003D3E88"/>
    <w:rsid w:val="003D4185"/>
    <w:rsid w:val="003D488A"/>
    <w:rsid w:val="003D50F1"/>
    <w:rsid w:val="003D51A8"/>
    <w:rsid w:val="003D544C"/>
    <w:rsid w:val="003D5A0B"/>
    <w:rsid w:val="003D5EF7"/>
    <w:rsid w:val="003D6408"/>
    <w:rsid w:val="003D6E1E"/>
    <w:rsid w:val="003D7486"/>
    <w:rsid w:val="003D7981"/>
    <w:rsid w:val="003E011E"/>
    <w:rsid w:val="003E047C"/>
    <w:rsid w:val="003E0771"/>
    <w:rsid w:val="003E2788"/>
    <w:rsid w:val="003E3EFE"/>
    <w:rsid w:val="003E42D5"/>
    <w:rsid w:val="003E766F"/>
    <w:rsid w:val="003E7756"/>
    <w:rsid w:val="003E7A30"/>
    <w:rsid w:val="003E7D4B"/>
    <w:rsid w:val="003F074D"/>
    <w:rsid w:val="003F0B29"/>
    <w:rsid w:val="003F201A"/>
    <w:rsid w:val="003F3321"/>
    <w:rsid w:val="003F3554"/>
    <w:rsid w:val="003F36EC"/>
    <w:rsid w:val="003F4008"/>
    <w:rsid w:val="003F421F"/>
    <w:rsid w:val="003F427C"/>
    <w:rsid w:val="003F436E"/>
    <w:rsid w:val="003F44AF"/>
    <w:rsid w:val="003F5330"/>
    <w:rsid w:val="003F5D8A"/>
    <w:rsid w:val="003F5F4D"/>
    <w:rsid w:val="003F79A9"/>
    <w:rsid w:val="00401042"/>
    <w:rsid w:val="00401376"/>
    <w:rsid w:val="004019D3"/>
    <w:rsid w:val="00401AFF"/>
    <w:rsid w:val="0040263A"/>
    <w:rsid w:val="00402E2A"/>
    <w:rsid w:val="00402FE4"/>
    <w:rsid w:val="00403E2E"/>
    <w:rsid w:val="0040455C"/>
    <w:rsid w:val="004055A5"/>
    <w:rsid w:val="00405A7F"/>
    <w:rsid w:val="00406208"/>
    <w:rsid w:val="0040787C"/>
    <w:rsid w:val="00407F7B"/>
    <w:rsid w:val="004105CF"/>
    <w:rsid w:val="00411877"/>
    <w:rsid w:val="00411E1D"/>
    <w:rsid w:val="00411F8D"/>
    <w:rsid w:val="00412442"/>
    <w:rsid w:val="004133AF"/>
    <w:rsid w:val="00413EBC"/>
    <w:rsid w:val="004140C0"/>
    <w:rsid w:val="0041419B"/>
    <w:rsid w:val="00414AB6"/>
    <w:rsid w:val="004159C3"/>
    <w:rsid w:val="00415BA1"/>
    <w:rsid w:val="00416F85"/>
    <w:rsid w:val="00417654"/>
    <w:rsid w:val="0041765A"/>
    <w:rsid w:val="00417DB6"/>
    <w:rsid w:val="0042038F"/>
    <w:rsid w:val="004204D7"/>
    <w:rsid w:val="00420C74"/>
    <w:rsid w:val="0042240D"/>
    <w:rsid w:val="004239D6"/>
    <w:rsid w:val="004249E1"/>
    <w:rsid w:val="00424EEE"/>
    <w:rsid w:val="004253D2"/>
    <w:rsid w:val="004255FF"/>
    <w:rsid w:val="004272D7"/>
    <w:rsid w:val="0042760E"/>
    <w:rsid w:val="004277AC"/>
    <w:rsid w:val="00427D5F"/>
    <w:rsid w:val="00430010"/>
    <w:rsid w:val="00431F90"/>
    <w:rsid w:val="0043231F"/>
    <w:rsid w:val="00432961"/>
    <w:rsid w:val="004330FE"/>
    <w:rsid w:val="004342EE"/>
    <w:rsid w:val="004350BA"/>
    <w:rsid w:val="00440FE1"/>
    <w:rsid w:val="00443404"/>
    <w:rsid w:val="00443832"/>
    <w:rsid w:val="00443DEB"/>
    <w:rsid w:val="004475A5"/>
    <w:rsid w:val="0044782C"/>
    <w:rsid w:val="00450875"/>
    <w:rsid w:val="00451378"/>
    <w:rsid w:val="004513F1"/>
    <w:rsid w:val="0045199A"/>
    <w:rsid w:val="00452DD2"/>
    <w:rsid w:val="00452FC7"/>
    <w:rsid w:val="00452FCB"/>
    <w:rsid w:val="0045325A"/>
    <w:rsid w:val="004553A8"/>
    <w:rsid w:val="004553C6"/>
    <w:rsid w:val="0045578E"/>
    <w:rsid w:val="004561C3"/>
    <w:rsid w:val="00456308"/>
    <w:rsid w:val="00456994"/>
    <w:rsid w:val="00456D41"/>
    <w:rsid w:val="00457AA5"/>
    <w:rsid w:val="00460201"/>
    <w:rsid w:val="004615A7"/>
    <w:rsid w:val="00462023"/>
    <w:rsid w:val="00462EB5"/>
    <w:rsid w:val="00463BBF"/>
    <w:rsid w:val="00464C47"/>
    <w:rsid w:val="00465B15"/>
    <w:rsid w:val="00466ACA"/>
    <w:rsid w:val="00470742"/>
    <w:rsid w:val="004713E6"/>
    <w:rsid w:val="0047230F"/>
    <w:rsid w:val="004743AE"/>
    <w:rsid w:val="004746D0"/>
    <w:rsid w:val="0047543D"/>
    <w:rsid w:val="004764E7"/>
    <w:rsid w:val="00477034"/>
    <w:rsid w:val="00477DFA"/>
    <w:rsid w:val="00477EBA"/>
    <w:rsid w:val="0048048D"/>
    <w:rsid w:val="00480653"/>
    <w:rsid w:val="00481888"/>
    <w:rsid w:val="00483617"/>
    <w:rsid w:val="004836BF"/>
    <w:rsid w:val="004875EB"/>
    <w:rsid w:val="00487D0D"/>
    <w:rsid w:val="004902F2"/>
    <w:rsid w:val="00491083"/>
    <w:rsid w:val="00492CA9"/>
    <w:rsid w:val="00492D05"/>
    <w:rsid w:val="00493B51"/>
    <w:rsid w:val="00493CA4"/>
    <w:rsid w:val="00494C50"/>
    <w:rsid w:val="00495C7D"/>
    <w:rsid w:val="00497AFE"/>
    <w:rsid w:val="004A00B5"/>
    <w:rsid w:val="004A0779"/>
    <w:rsid w:val="004A0973"/>
    <w:rsid w:val="004A1214"/>
    <w:rsid w:val="004A1289"/>
    <w:rsid w:val="004A15B3"/>
    <w:rsid w:val="004A30FF"/>
    <w:rsid w:val="004A3378"/>
    <w:rsid w:val="004A4251"/>
    <w:rsid w:val="004A470C"/>
    <w:rsid w:val="004A4FAE"/>
    <w:rsid w:val="004A5608"/>
    <w:rsid w:val="004A58B4"/>
    <w:rsid w:val="004A62FA"/>
    <w:rsid w:val="004A7F35"/>
    <w:rsid w:val="004B05CA"/>
    <w:rsid w:val="004B1A6C"/>
    <w:rsid w:val="004B1CED"/>
    <w:rsid w:val="004B1ECE"/>
    <w:rsid w:val="004B2A1D"/>
    <w:rsid w:val="004B31BA"/>
    <w:rsid w:val="004B4163"/>
    <w:rsid w:val="004B5FCE"/>
    <w:rsid w:val="004B7178"/>
    <w:rsid w:val="004B747B"/>
    <w:rsid w:val="004B751C"/>
    <w:rsid w:val="004C013A"/>
    <w:rsid w:val="004C0868"/>
    <w:rsid w:val="004C08EC"/>
    <w:rsid w:val="004C0E6C"/>
    <w:rsid w:val="004C165B"/>
    <w:rsid w:val="004C20C9"/>
    <w:rsid w:val="004C2A64"/>
    <w:rsid w:val="004C33F1"/>
    <w:rsid w:val="004C3A8A"/>
    <w:rsid w:val="004C3D24"/>
    <w:rsid w:val="004C5389"/>
    <w:rsid w:val="004C5522"/>
    <w:rsid w:val="004C7119"/>
    <w:rsid w:val="004C73AA"/>
    <w:rsid w:val="004C7915"/>
    <w:rsid w:val="004C7F9B"/>
    <w:rsid w:val="004D0110"/>
    <w:rsid w:val="004D02F1"/>
    <w:rsid w:val="004D0C37"/>
    <w:rsid w:val="004D0DC1"/>
    <w:rsid w:val="004D497B"/>
    <w:rsid w:val="004D4ACC"/>
    <w:rsid w:val="004D5079"/>
    <w:rsid w:val="004D5127"/>
    <w:rsid w:val="004D6F89"/>
    <w:rsid w:val="004D6F8E"/>
    <w:rsid w:val="004D7F8D"/>
    <w:rsid w:val="004E05A3"/>
    <w:rsid w:val="004E135F"/>
    <w:rsid w:val="004E2308"/>
    <w:rsid w:val="004E36DC"/>
    <w:rsid w:val="004E3A43"/>
    <w:rsid w:val="004E490A"/>
    <w:rsid w:val="004E4C95"/>
    <w:rsid w:val="004E4D99"/>
    <w:rsid w:val="004E4DB7"/>
    <w:rsid w:val="004E63D0"/>
    <w:rsid w:val="004E6CE5"/>
    <w:rsid w:val="004E739D"/>
    <w:rsid w:val="004E75D8"/>
    <w:rsid w:val="004E7FAC"/>
    <w:rsid w:val="004F029D"/>
    <w:rsid w:val="004F0EFD"/>
    <w:rsid w:val="004F1D29"/>
    <w:rsid w:val="004F1EE3"/>
    <w:rsid w:val="004F220A"/>
    <w:rsid w:val="004F2611"/>
    <w:rsid w:val="004F3D32"/>
    <w:rsid w:val="004F44FF"/>
    <w:rsid w:val="004F4F29"/>
    <w:rsid w:val="004F5506"/>
    <w:rsid w:val="004F5B31"/>
    <w:rsid w:val="004F6307"/>
    <w:rsid w:val="00501D01"/>
    <w:rsid w:val="005020C4"/>
    <w:rsid w:val="00502841"/>
    <w:rsid w:val="00504A14"/>
    <w:rsid w:val="00505FC6"/>
    <w:rsid w:val="00506355"/>
    <w:rsid w:val="00506B46"/>
    <w:rsid w:val="0051030E"/>
    <w:rsid w:val="00510CDC"/>
    <w:rsid w:val="00511795"/>
    <w:rsid w:val="0051265D"/>
    <w:rsid w:val="005127FD"/>
    <w:rsid w:val="00513DBE"/>
    <w:rsid w:val="00516E51"/>
    <w:rsid w:val="00517A29"/>
    <w:rsid w:val="00520862"/>
    <w:rsid w:val="00520CCF"/>
    <w:rsid w:val="0052267D"/>
    <w:rsid w:val="00522A54"/>
    <w:rsid w:val="00522F08"/>
    <w:rsid w:val="0052342A"/>
    <w:rsid w:val="005238E5"/>
    <w:rsid w:val="005252A7"/>
    <w:rsid w:val="00525DF5"/>
    <w:rsid w:val="00526AE7"/>
    <w:rsid w:val="00527D70"/>
    <w:rsid w:val="00530A1A"/>
    <w:rsid w:val="005318C4"/>
    <w:rsid w:val="00531DE0"/>
    <w:rsid w:val="005321B0"/>
    <w:rsid w:val="00533253"/>
    <w:rsid w:val="00533255"/>
    <w:rsid w:val="00533A17"/>
    <w:rsid w:val="005353E7"/>
    <w:rsid w:val="00535CFC"/>
    <w:rsid w:val="00535F1E"/>
    <w:rsid w:val="005362B8"/>
    <w:rsid w:val="005378BE"/>
    <w:rsid w:val="00540FFB"/>
    <w:rsid w:val="00542500"/>
    <w:rsid w:val="00542A70"/>
    <w:rsid w:val="00542CFD"/>
    <w:rsid w:val="00542EEC"/>
    <w:rsid w:val="0054319E"/>
    <w:rsid w:val="00543B36"/>
    <w:rsid w:val="00543F80"/>
    <w:rsid w:val="00544284"/>
    <w:rsid w:val="00544401"/>
    <w:rsid w:val="00544640"/>
    <w:rsid w:val="00544F1F"/>
    <w:rsid w:val="00545767"/>
    <w:rsid w:val="00545930"/>
    <w:rsid w:val="0054695C"/>
    <w:rsid w:val="00547BC5"/>
    <w:rsid w:val="005514A4"/>
    <w:rsid w:val="00551FFB"/>
    <w:rsid w:val="005524AF"/>
    <w:rsid w:val="00552CE9"/>
    <w:rsid w:val="00554AD6"/>
    <w:rsid w:val="005556B2"/>
    <w:rsid w:val="00555DE1"/>
    <w:rsid w:val="00555F3F"/>
    <w:rsid w:val="005560A2"/>
    <w:rsid w:val="005566B2"/>
    <w:rsid w:val="00556903"/>
    <w:rsid w:val="0055791F"/>
    <w:rsid w:val="00560A3C"/>
    <w:rsid w:val="00561344"/>
    <w:rsid w:val="00561440"/>
    <w:rsid w:val="00561C5F"/>
    <w:rsid w:val="0056232E"/>
    <w:rsid w:val="005623DF"/>
    <w:rsid w:val="005635E2"/>
    <w:rsid w:val="00565159"/>
    <w:rsid w:val="00565725"/>
    <w:rsid w:val="00565750"/>
    <w:rsid w:val="00566AD8"/>
    <w:rsid w:val="00567931"/>
    <w:rsid w:val="00567C4F"/>
    <w:rsid w:val="005700DF"/>
    <w:rsid w:val="00570164"/>
    <w:rsid w:val="0057067D"/>
    <w:rsid w:val="0057081E"/>
    <w:rsid w:val="00570DE3"/>
    <w:rsid w:val="00570EA2"/>
    <w:rsid w:val="0057101D"/>
    <w:rsid w:val="005715A0"/>
    <w:rsid w:val="00571A7C"/>
    <w:rsid w:val="0057239E"/>
    <w:rsid w:val="00573E7B"/>
    <w:rsid w:val="005751BE"/>
    <w:rsid w:val="0057612C"/>
    <w:rsid w:val="00582128"/>
    <w:rsid w:val="005833BD"/>
    <w:rsid w:val="005834C1"/>
    <w:rsid w:val="005841EC"/>
    <w:rsid w:val="00584BCC"/>
    <w:rsid w:val="00584F73"/>
    <w:rsid w:val="00585506"/>
    <w:rsid w:val="00585C22"/>
    <w:rsid w:val="00586141"/>
    <w:rsid w:val="0058733E"/>
    <w:rsid w:val="00590C1A"/>
    <w:rsid w:val="00590F90"/>
    <w:rsid w:val="005914FA"/>
    <w:rsid w:val="00591510"/>
    <w:rsid w:val="0059238E"/>
    <w:rsid w:val="00592D3A"/>
    <w:rsid w:val="00593B81"/>
    <w:rsid w:val="00593F2D"/>
    <w:rsid w:val="005944D7"/>
    <w:rsid w:val="005946F0"/>
    <w:rsid w:val="00595D84"/>
    <w:rsid w:val="00596066"/>
    <w:rsid w:val="00596088"/>
    <w:rsid w:val="0059666C"/>
    <w:rsid w:val="005A2DB4"/>
    <w:rsid w:val="005A3026"/>
    <w:rsid w:val="005A37B2"/>
    <w:rsid w:val="005A3852"/>
    <w:rsid w:val="005A5234"/>
    <w:rsid w:val="005A5D08"/>
    <w:rsid w:val="005A7B41"/>
    <w:rsid w:val="005A7E38"/>
    <w:rsid w:val="005B042E"/>
    <w:rsid w:val="005B1125"/>
    <w:rsid w:val="005B17EA"/>
    <w:rsid w:val="005B1ABB"/>
    <w:rsid w:val="005B1C2F"/>
    <w:rsid w:val="005B21D0"/>
    <w:rsid w:val="005B22C0"/>
    <w:rsid w:val="005B2B4C"/>
    <w:rsid w:val="005B3662"/>
    <w:rsid w:val="005B3A16"/>
    <w:rsid w:val="005B5566"/>
    <w:rsid w:val="005B5DDF"/>
    <w:rsid w:val="005B6048"/>
    <w:rsid w:val="005B63F8"/>
    <w:rsid w:val="005B688D"/>
    <w:rsid w:val="005B6E3A"/>
    <w:rsid w:val="005C0CC6"/>
    <w:rsid w:val="005C10D1"/>
    <w:rsid w:val="005C14D4"/>
    <w:rsid w:val="005C224F"/>
    <w:rsid w:val="005C36A8"/>
    <w:rsid w:val="005C4109"/>
    <w:rsid w:val="005C67ED"/>
    <w:rsid w:val="005C7145"/>
    <w:rsid w:val="005C7859"/>
    <w:rsid w:val="005D08AE"/>
    <w:rsid w:val="005D0B04"/>
    <w:rsid w:val="005D1D5E"/>
    <w:rsid w:val="005D202F"/>
    <w:rsid w:val="005D35F2"/>
    <w:rsid w:val="005D3998"/>
    <w:rsid w:val="005D3CCD"/>
    <w:rsid w:val="005D4301"/>
    <w:rsid w:val="005D4FB9"/>
    <w:rsid w:val="005D629C"/>
    <w:rsid w:val="005D69B0"/>
    <w:rsid w:val="005E0421"/>
    <w:rsid w:val="005E0F08"/>
    <w:rsid w:val="005E1C54"/>
    <w:rsid w:val="005E3DB7"/>
    <w:rsid w:val="005E3E38"/>
    <w:rsid w:val="005E492F"/>
    <w:rsid w:val="005E4FF9"/>
    <w:rsid w:val="005E7529"/>
    <w:rsid w:val="005F004A"/>
    <w:rsid w:val="005F044B"/>
    <w:rsid w:val="005F220F"/>
    <w:rsid w:val="005F2656"/>
    <w:rsid w:val="005F3460"/>
    <w:rsid w:val="005F39C7"/>
    <w:rsid w:val="005F4770"/>
    <w:rsid w:val="005F57B6"/>
    <w:rsid w:val="005F6215"/>
    <w:rsid w:val="005F6E41"/>
    <w:rsid w:val="005F71F2"/>
    <w:rsid w:val="005F7A54"/>
    <w:rsid w:val="006008E6"/>
    <w:rsid w:val="00600F22"/>
    <w:rsid w:val="00601D2C"/>
    <w:rsid w:val="00602D4F"/>
    <w:rsid w:val="00603D7C"/>
    <w:rsid w:val="00603E89"/>
    <w:rsid w:val="00605DA0"/>
    <w:rsid w:val="00605F58"/>
    <w:rsid w:val="00605F9C"/>
    <w:rsid w:val="00610B4F"/>
    <w:rsid w:val="0061249F"/>
    <w:rsid w:val="00612FFF"/>
    <w:rsid w:val="00613488"/>
    <w:rsid w:val="00613B4D"/>
    <w:rsid w:val="00613C2E"/>
    <w:rsid w:val="00614CA4"/>
    <w:rsid w:val="00614E4F"/>
    <w:rsid w:val="0061508B"/>
    <w:rsid w:val="00617388"/>
    <w:rsid w:val="00617432"/>
    <w:rsid w:val="006205B2"/>
    <w:rsid w:val="00620D6B"/>
    <w:rsid w:val="0062121D"/>
    <w:rsid w:val="00623959"/>
    <w:rsid w:val="00623B70"/>
    <w:rsid w:val="00624197"/>
    <w:rsid w:val="00624D4C"/>
    <w:rsid w:val="00625483"/>
    <w:rsid w:val="0062646C"/>
    <w:rsid w:val="00626BF2"/>
    <w:rsid w:val="00627022"/>
    <w:rsid w:val="0062737E"/>
    <w:rsid w:val="00630496"/>
    <w:rsid w:val="00630F52"/>
    <w:rsid w:val="006314CE"/>
    <w:rsid w:val="00631ECB"/>
    <w:rsid w:val="00632E0A"/>
    <w:rsid w:val="00633228"/>
    <w:rsid w:val="006333A5"/>
    <w:rsid w:val="0063373C"/>
    <w:rsid w:val="00633CA3"/>
    <w:rsid w:val="00635DCC"/>
    <w:rsid w:val="00637F47"/>
    <w:rsid w:val="00641E83"/>
    <w:rsid w:val="00642775"/>
    <w:rsid w:val="00642E26"/>
    <w:rsid w:val="006442BF"/>
    <w:rsid w:val="00645252"/>
    <w:rsid w:val="0064576C"/>
    <w:rsid w:val="00645831"/>
    <w:rsid w:val="006472BB"/>
    <w:rsid w:val="00647792"/>
    <w:rsid w:val="00652AE0"/>
    <w:rsid w:val="00657363"/>
    <w:rsid w:val="006574F2"/>
    <w:rsid w:val="0066019D"/>
    <w:rsid w:val="00660533"/>
    <w:rsid w:val="006609F0"/>
    <w:rsid w:val="00661DA7"/>
    <w:rsid w:val="006624BA"/>
    <w:rsid w:val="00662B1F"/>
    <w:rsid w:val="00663948"/>
    <w:rsid w:val="00663CF0"/>
    <w:rsid w:val="00663DC3"/>
    <w:rsid w:val="006651CE"/>
    <w:rsid w:val="00665220"/>
    <w:rsid w:val="0066527A"/>
    <w:rsid w:val="00666FC0"/>
    <w:rsid w:val="006671B4"/>
    <w:rsid w:val="0067070B"/>
    <w:rsid w:val="006726A3"/>
    <w:rsid w:val="00672784"/>
    <w:rsid w:val="00672AE0"/>
    <w:rsid w:val="0067340C"/>
    <w:rsid w:val="006735E0"/>
    <w:rsid w:val="00673822"/>
    <w:rsid w:val="00673FE2"/>
    <w:rsid w:val="00674B13"/>
    <w:rsid w:val="00675AFC"/>
    <w:rsid w:val="0067693D"/>
    <w:rsid w:val="006770BA"/>
    <w:rsid w:val="00677234"/>
    <w:rsid w:val="006777CC"/>
    <w:rsid w:val="0068507F"/>
    <w:rsid w:val="00685E38"/>
    <w:rsid w:val="0068761A"/>
    <w:rsid w:val="00691F46"/>
    <w:rsid w:val="00692A38"/>
    <w:rsid w:val="00694583"/>
    <w:rsid w:val="0069481D"/>
    <w:rsid w:val="00694E7E"/>
    <w:rsid w:val="00696625"/>
    <w:rsid w:val="00696FFE"/>
    <w:rsid w:val="0069733D"/>
    <w:rsid w:val="00697B08"/>
    <w:rsid w:val="006A162E"/>
    <w:rsid w:val="006A1984"/>
    <w:rsid w:val="006A31AE"/>
    <w:rsid w:val="006A3830"/>
    <w:rsid w:val="006A3DD2"/>
    <w:rsid w:val="006A4188"/>
    <w:rsid w:val="006A4B97"/>
    <w:rsid w:val="006A5265"/>
    <w:rsid w:val="006A5770"/>
    <w:rsid w:val="006A58E8"/>
    <w:rsid w:val="006A5C8C"/>
    <w:rsid w:val="006A66B7"/>
    <w:rsid w:val="006A79F5"/>
    <w:rsid w:val="006B0120"/>
    <w:rsid w:val="006B119D"/>
    <w:rsid w:val="006B1467"/>
    <w:rsid w:val="006B16E1"/>
    <w:rsid w:val="006B1F3C"/>
    <w:rsid w:val="006B20F4"/>
    <w:rsid w:val="006B3532"/>
    <w:rsid w:val="006B390A"/>
    <w:rsid w:val="006B5BE9"/>
    <w:rsid w:val="006B6948"/>
    <w:rsid w:val="006C032E"/>
    <w:rsid w:val="006C04FB"/>
    <w:rsid w:val="006C13B6"/>
    <w:rsid w:val="006C35CE"/>
    <w:rsid w:val="006C3738"/>
    <w:rsid w:val="006C4C6D"/>
    <w:rsid w:val="006C55B3"/>
    <w:rsid w:val="006C657F"/>
    <w:rsid w:val="006C661E"/>
    <w:rsid w:val="006C75F3"/>
    <w:rsid w:val="006D123D"/>
    <w:rsid w:val="006D2009"/>
    <w:rsid w:val="006D2272"/>
    <w:rsid w:val="006D2B9A"/>
    <w:rsid w:val="006D4001"/>
    <w:rsid w:val="006D40BC"/>
    <w:rsid w:val="006D44CC"/>
    <w:rsid w:val="006D480F"/>
    <w:rsid w:val="006D5B9C"/>
    <w:rsid w:val="006D6066"/>
    <w:rsid w:val="006D7D3A"/>
    <w:rsid w:val="006E1566"/>
    <w:rsid w:val="006E16B0"/>
    <w:rsid w:val="006E32BB"/>
    <w:rsid w:val="006E3AD6"/>
    <w:rsid w:val="006E4CF2"/>
    <w:rsid w:val="006E7047"/>
    <w:rsid w:val="006E7488"/>
    <w:rsid w:val="006F0F1D"/>
    <w:rsid w:val="006F3629"/>
    <w:rsid w:val="006F4093"/>
    <w:rsid w:val="006F49DE"/>
    <w:rsid w:val="006F4CC3"/>
    <w:rsid w:val="006F5AAF"/>
    <w:rsid w:val="007015EC"/>
    <w:rsid w:val="00702047"/>
    <w:rsid w:val="00702449"/>
    <w:rsid w:val="00702B8E"/>
    <w:rsid w:val="00704A8B"/>
    <w:rsid w:val="00704D99"/>
    <w:rsid w:val="00706DE6"/>
    <w:rsid w:val="007078EE"/>
    <w:rsid w:val="00710347"/>
    <w:rsid w:val="007107AA"/>
    <w:rsid w:val="00710CF4"/>
    <w:rsid w:val="00712383"/>
    <w:rsid w:val="00712545"/>
    <w:rsid w:val="00713411"/>
    <w:rsid w:val="00715A77"/>
    <w:rsid w:val="00716828"/>
    <w:rsid w:val="00717BEA"/>
    <w:rsid w:val="00717CD8"/>
    <w:rsid w:val="00721719"/>
    <w:rsid w:val="00721A58"/>
    <w:rsid w:val="007222DF"/>
    <w:rsid w:val="00722E1D"/>
    <w:rsid w:val="00723448"/>
    <w:rsid w:val="00726871"/>
    <w:rsid w:val="0072732B"/>
    <w:rsid w:val="00727875"/>
    <w:rsid w:val="00731173"/>
    <w:rsid w:val="0073218D"/>
    <w:rsid w:val="0073240A"/>
    <w:rsid w:val="0073316B"/>
    <w:rsid w:val="00733963"/>
    <w:rsid w:val="00733F7F"/>
    <w:rsid w:val="00734EAC"/>
    <w:rsid w:val="00736CB8"/>
    <w:rsid w:val="007400B6"/>
    <w:rsid w:val="00740802"/>
    <w:rsid w:val="0074131F"/>
    <w:rsid w:val="007435E5"/>
    <w:rsid w:val="00744912"/>
    <w:rsid w:val="007449CB"/>
    <w:rsid w:val="0074544D"/>
    <w:rsid w:val="00745C35"/>
    <w:rsid w:val="00746BAB"/>
    <w:rsid w:val="00746DEA"/>
    <w:rsid w:val="00751CF8"/>
    <w:rsid w:val="007520BF"/>
    <w:rsid w:val="00752412"/>
    <w:rsid w:val="00753CA3"/>
    <w:rsid w:val="00754117"/>
    <w:rsid w:val="00754F89"/>
    <w:rsid w:val="00755428"/>
    <w:rsid w:val="00755694"/>
    <w:rsid w:val="00755CC6"/>
    <w:rsid w:val="00756BEB"/>
    <w:rsid w:val="007574D7"/>
    <w:rsid w:val="00760FFD"/>
    <w:rsid w:val="00761357"/>
    <w:rsid w:val="00761CED"/>
    <w:rsid w:val="007625A6"/>
    <w:rsid w:val="0076291B"/>
    <w:rsid w:val="00765514"/>
    <w:rsid w:val="00765F43"/>
    <w:rsid w:val="00767E44"/>
    <w:rsid w:val="0077067D"/>
    <w:rsid w:val="0077085D"/>
    <w:rsid w:val="007708FA"/>
    <w:rsid w:val="00770BC4"/>
    <w:rsid w:val="0077172A"/>
    <w:rsid w:val="00775721"/>
    <w:rsid w:val="00776631"/>
    <w:rsid w:val="00777DC0"/>
    <w:rsid w:val="0078024D"/>
    <w:rsid w:val="00780553"/>
    <w:rsid w:val="00780731"/>
    <w:rsid w:val="00780D61"/>
    <w:rsid w:val="0078349E"/>
    <w:rsid w:val="00783F98"/>
    <w:rsid w:val="00784372"/>
    <w:rsid w:val="00784D22"/>
    <w:rsid w:val="00784F5C"/>
    <w:rsid w:val="00785527"/>
    <w:rsid w:val="00785AAA"/>
    <w:rsid w:val="00785D0A"/>
    <w:rsid w:val="007865D8"/>
    <w:rsid w:val="0079007E"/>
    <w:rsid w:val="007905F4"/>
    <w:rsid w:val="00791BBC"/>
    <w:rsid w:val="0079526E"/>
    <w:rsid w:val="007952C6"/>
    <w:rsid w:val="00796F5B"/>
    <w:rsid w:val="00797FF0"/>
    <w:rsid w:val="007A2EEC"/>
    <w:rsid w:val="007A51D0"/>
    <w:rsid w:val="007A5566"/>
    <w:rsid w:val="007A651B"/>
    <w:rsid w:val="007A6CF9"/>
    <w:rsid w:val="007A7207"/>
    <w:rsid w:val="007A7275"/>
    <w:rsid w:val="007B06CC"/>
    <w:rsid w:val="007B10B8"/>
    <w:rsid w:val="007B10CF"/>
    <w:rsid w:val="007B16D1"/>
    <w:rsid w:val="007B1910"/>
    <w:rsid w:val="007B1ADA"/>
    <w:rsid w:val="007B31CF"/>
    <w:rsid w:val="007B395D"/>
    <w:rsid w:val="007B3A7A"/>
    <w:rsid w:val="007B442B"/>
    <w:rsid w:val="007B4EC2"/>
    <w:rsid w:val="007B4F58"/>
    <w:rsid w:val="007B6BFB"/>
    <w:rsid w:val="007B6E51"/>
    <w:rsid w:val="007B71BE"/>
    <w:rsid w:val="007B783D"/>
    <w:rsid w:val="007C08A7"/>
    <w:rsid w:val="007C192E"/>
    <w:rsid w:val="007C351A"/>
    <w:rsid w:val="007C38E6"/>
    <w:rsid w:val="007C3EEC"/>
    <w:rsid w:val="007C4798"/>
    <w:rsid w:val="007C4D69"/>
    <w:rsid w:val="007C57DB"/>
    <w:rsid w:val="007C61A5"/>
    <w:rsid w:val="007C625B"/>
    <w:rsid w:val="007C6FCE"/>
    <w:rsid w:val="007D02CF"/>
    <w:rsid w:val="007D06BD"/>
    <w:rsid w:val="007D07D7"/>
    <w:rsid w:val="007D151A"/>
    <w:rsid w:val="007D2A55"/>
    <w:rsid w:val="007D2A73"/>
    <w:rsid w:val="007D32E0"/>
    <w:rsid w:val="007D5566"/>
    <w:rsid w:val="007D63EB"/>
    <w:rsid w:val="007D67C1"/>
    <w:rsid w:val="007D6814"/>
    <w:rsid w:val="007D6EC3"/>
    <w:rsid w:val="007D7EE6"/>
    <w:rsid w:val="007E0226"/>
    <w:rsid w:val="007E0250"/>
    <w:rsid w:val="007E1A47"/>
    <w:rsid w:val="007E42A1"/>
    <w:rsid w:val="007E4D31"/>
    <w:rsid w:val="007E733E"/>
    <w:rsid w:val="007E7C6F"/>
    <w:rsid w:val="007F0B8F"/>
    <w:rsid w:val="007F191D"/>
    <w:rsid w:val="007F1961"/>
    <w:rsid w:val="007F1CDB"/>
    <w:rsid w:val="007F27B5"/>
    <w:rsid w:val="007F2998"/>
    <w:rsid w:val="007F443F"/>
    <w:rsid w:val="007F45BC"/>
    <w:rsid w:val="007F4ECD"/>
    <w:rsid w:val="007F521D"/>
    <w:rsid w:val="007F53D9"/>
    <w:rsid w:val="007F7A84"/>
    <w:rsid w:val="00800864"/>
    <w:rsid w:val="00800A5C"/>
    <w:rsid w:val="00801671"/>
    <w:rsid w:val="00801B9F"/>
    <w:rsid w:val="00803F06"/>
    <w:rsid w:val="0080426B"/>
    <w:rsid w:val="0080487A"/>
    <w:rsid w:val="00804E44"/>
    <w:rsid w:val="008061DB"/>
    <w:rsid w:val="00806497"/>
    <w:rsid w:val="008113E1"/>
    <w:rsid w:val="008118AB"/>
    <w:rsid w:val="00812796"/>
    <w:rsid w:val="00813C43"/>
    <w:rsid w:val="008142F5"/>
    <w:rsid w:val="00815483"/>
    <w:rsid w:val="008157B8"/>
    <w:rsid w:val="0081672C"/>
    <w:rsid w:val="00816935"/>
    <w:rsid w:val="00816F33"/>
    <w:rsid w:val="008179A2"/>
    <w:rsid w:val="0082016C"/>
    <w:rsid w:val="00821B40"/>
    <w:rsid w:val="008227EE"/>
    <w:rsid w:val="008247CB"/>
    <w:rsid w:val="008272EB"/>
    <w:rsid w:val="008317AB"/>
    <w:rsid w:val="00832151"/>
    <w:rsid w:val="008326EB"/>
    <w:rsid w:val="00832BD3"/>
    <w:rsid w:val="00834127"/>
    <w:rsid w:val="00834C18"/>
    <w:rsid w:val="00834C81"/>
    <w:rsid w:val="00836799"/>
    <w:rsid w:val="008368E1"/>
    <w:rsid w:val="00836A8C"/>
    <w:rsid w:val="00840DE9"/>
    <w:rsid w:val="0084186B"/>
    <w:rsid w:val="008419C4"/>
    <w:rsid w:val="00841A63"/>
    <w:rsid w:val="00842532"/>
    <w:rsid w:val="00842A93"/>
    <w:rsid w:val="00842AE9"/>
    <w:rsid w:val="008438E7"/>
    <w:rsid w:val="008440FE"/>
    <w:rsid w:val="00844AF5"/>
    <w:rsid w:val="0084503C"/>
    <w:rsid w:val="008454F2"/>
    <w:rsid w:val="008457AC"/>
    <w:rsid w:val="00845D66"/>
    <w:rsid w:val="00845E90"/>
    <w:rsid w:val="008463F9"/>
    <w:rsid w:val="00846FA0"/>
    <w:rsid w:val="008505F4"/>
    <w:rsid w:val="00851298"/>
    <w:rsid w:val="0085476C"/>
    <w:rsid w:val="00855094"/>
    <w:rsid w:val="0085626E"/>
    <w:rsid w:val="00857A40"/>
    <w:rsid w:val="00857F5F"/>
    <w:rsid w:val="00860124"/>
    <w:rsid w:val="008616A0"/>
    <w:rsid w:val="008634CC"/>
    <w:rsid w:val="00864747"/>
    <w:rsid w:val="00865F36"/>
    <w:rsid w:val="008661DF"/>
    <w:rsid w:val="00866B31"/>
    <w:rsid w:val="008726AD"/>
    <w:rsid w:val="00872B62"/>
    <w:rsid w:val="00872FDF"/>
    <w:rsid w:val="008775E8"/>
    <w:rsid w:val="008801B5"/>
    <w:rsid w:val="00881484"/>
    <w:rsid w:val="00881BDF"/>
    <w:rsid w:val="00881DE6"/>
    <w:rsid w:val="00882A80"/>
    <w:rsid w:val="008862E9"/>
    <w:rsid w:val="008903FD"/>
    <w:rsid w:val="0089081A"/>
    <w:rsid w:val="00891B9D"/>
    <w:rsid w:val="00892A08"/>
    <w:rsid w:val="00893C86"/>
    <w:rsid w:val="00893CEA"/>
    <w:rsid w:val="0089488E"/>
    <w:rsid w:val="008950E6"/>
    <w:rsid w:val="00896130"/>
    <w:rsid w:val="008962A5"/>
    <w:rsid w:val="00896FFC"/>
    <w:rsid w:val="00897E07"/>
    <w:rsid w:val="008A17B9"/>
    <w:rsid w:val="008A190F"/>
    <w:rsid w:val="008A2093"/>
    <w:rsid w:val="008A2874"/>
    <w:rsid w:val="008A360E"/>
    <w:rsid w:val="008A38AE"/>
    <w:rsid w:val="008A46F3"/>
    <w:rsid w:val="008A60F5"/>
    <w:rsid w:val="008A6480"/>
    <w:rsid w:val="008A6AEF"/>
    <w:rsid w:val="008B12AC"/>
    <w:rsid w:val="008B12EE"/>
    <w:rsid w:val="008B3171"/>
    <w:rsid w:val="008B3EC8"/>
    <w:rsid w:val="008B475A"/>
    <w:rsid w:val="008B6B1F"/>
    <w:rsid w:val="008B7E96"/>
    <w:rsid w:val="008B7F6A"/>
    <w:rsid w:val="008C0E8C"/>
    <w:rsid w:val="008C1953"/>
    <w:rsid w:val="008C2817"/>
    <w:rsid w:val="008C344C"/>
    <w:rsid w:val="008C3D76"/>
    <w:rsid w:val="008C4005"/>
    <w:rsid w:val="008C47C0"/>
    <w:rsid w:val="008C55D6"/>
    <w:rsid w:val="008C771E"/>
    <w:rsid w:val="008C7FA0"/>
    <w:rsid w:val="008D02DB"/>
    <w:rsid w:val="008D0CA0"/>
    <w:rsid w:val="008D2157"/>
    <w:rsid w:val="008D344D"/>
    <w:rsid w:val="008D3B30"/>
    <w:rsid w:val="008D505A"/>
    <w:rsid w:val="008D68C3"/>
    <w:rsid w:val="008D7049"/>
    <w:rsid w:val="008E1821"/>
    <w:rsid w:val="008E322E"/>
    <w:rsid w:val="008E390D"/>
    <w:rsid w:val="008E53B5"/>
    <w:rsid w:val="008E5E8A"/>
    <w:rsid w:val="008E6393"/>
    <w:rsid w:val="008E6CF2"/>
    <w:rsid w:val="008F0770"/>
    <w:rsid w:val="008F208B"/>
    <w:rsid w:val="008F2D20"/>
    <w:rsid w:val="008F3426"/>
    <w:rsid w:val="008F3D2C"/>
    <w:rsid w:val="008F50AA"/>
    <w:rsid w:val="008F565A"/>
    <w:rsid w:val="008F5867"/>
    <w:rsid w:val="008F5BFF"/>
    <w:rsid w:val="008F5FC1"/>
    <w:rsid w:val="008F66B7"/>
    <w:rsid w:val="008F7EF7"/>
    <w:rsid w:val="009007A3"/>
    <w:rsid w:val="00901599"/>
    <w:rsid w:val="0090398C"/>
    <w:rsid w:val="00904220"/>
    <w:rsid w:val="00905B37"/>
    <w:rsid w:val="00905C87"/>
    <w:rsid w:val="00907127"/>
    <w:rsid w:val="00907470"/>
    <w:rsid w:val="00910CB7"/>
    <w:rsid w:val="009114AC"/>
    <w:rsid w:val="00911C84"/>
    <w:rsid w:val="00912000"/>
    <w:rsid w:val="009121EE"/>
    <w:rsid w:val="0091374F"/>
    <w:rsid w:val="00913999"/>
    <w:rsid w:val="00914AFB"/>
    <w:rsid w:val="009156A1"/>
    <w:rsid w:val="0091575F"/>
    <w:rsid w:val="00915E7E"/>
    <w:rsid w:val="009160EE"/>
    <w:rsid w:val="009163C1"/>
    <w:rsid w:val="00920652"/>
    <w:rsid w:val="00921476"/>
    <w:rsid w:val="00921774"/>
    <w:rsid w:val="00921810"/>
    <w:rsid w:val="00921AFE"/>
    <w:rsid w:val="0092223C"/>
    <w:rsid w:val="0092282C"/>
    <w:rsid w:val="00922FED"/>
    <w:rsid w:val="00923684"/>
    <w:rsid w:val="00924EC8"/>
    <w:rsid w:val="0092563A"/>
    <w:rsid w:val="00925B04"/>
    <w:rsid w:val="00927132"/>
    <w:rsid w:val="009272CD"/>
    <w:rsid w:val="00927B63"/>
    <w:rsid w:val="00932D97"/>
    <w:rsid w:val="00933F47"/>
    <w:rsid w:val="009343CC"/>
    <w:rsid w:val="00936045"/>
    <w:rsid w:val="00937357"/>
    <w:rsid w:val="00937945"/>
    <w:rsid w:val="00940601"/>
    <w:rsid w:val="00940A39"/>
    <w:rsid w:val="00940C9F"/>
    <w:rsid w:val="00941765"/>
    <w:rsid w:val="00944277"/>
    <w:rsid w:val="009452E5"/>
    <w:rsid w:val="00945507"/>
    <w:rsid w:val="00945A6A"/>
    <w:rsid w:val="00945C24"/>
    <w:rsid w:val="009463E0"/>
    <w:rsid w:val="009465D1"/>
    <w:rsid w:val="009476C7"/>
    <w:rsid w:val="00947DD4"/>
    <w:rsid w:val="00950016"/>
    <w:rsid w:val="00950992"/>
    <w:rsid w:val="0095112B"/>
    <w:rsid w:val="00951A8D"/>
    <w:rsid w:val="00952188"/>
    <w:rsid w:val="009522E7"/>
    <w:rsid w:val="0095241E"/>
    <w:rsid w:val="00952D2E"/>
    <w:rsid w:val="00952D8A"/>
    <w:rsid w:val="00954765"/>
    <w:rsid w:val="00954962"/>
    <w:rsid w:val="00954B23"/>
    <w:rsid w:val="00955CFD"/>
    <w:rsid w:val="0095661F"/>
    <w:rsid w:val="0095720A"/>
    <w:rsid w:val="009576CD"/>
    <w:rsid w:val="00957CF2"/>
    <w:rsid w:val="00960483"/>
    <w:rsid w:val="00961455"/>
    <w:rsid w:val="00962281"/>
    <w:rsid w:val="00962AE1"/>
    <w:rsid w:val="00962FEF"/>
    <w:rsid w:val="00963260"/>
    <w:rsid w:val="00963DC1"/>
    <w:rsid w:val="00964F12"/>
    <w:rsid w:val="009658CD"/>
    <w:rsid w:val="00967EBE"/>
    <w:rsid w:val="00970B31"/>
    <w:rsid w:val="00971FBA"/>
    <w:rsid w:val="0097232C"/>
    <w:rsid w:val="00972CF7"/>
    <w:rsid w:val="00973CAC"/>
    <w:rsid w:val="0097455E"/>
    <w:rsid w:val="009746A9"/>
    <w:rsid w:val="00974C73"/>
    <w:rsid w:val="009756CD"/>
    <w:rsid w:val="00976641"/>
    <w:rsid w:val="00976863"/>
    <w:rsid w:val="00976E02"/>
    <w:rsid w:val="0097778F"/>
    <w:rsid w:val="00980BA5"/>
    <w:rsid w:val="00981A93"/>
    <w:rsid w:val="0098216F"/>
    <w:rsid w:val="00983A08"/>
    <w:rsid w:val="00984F19"/>
    <w:rsid w:val="009859B8"/>
    <w:rsid w:val="00986117"/>
    <w:rsid w:val="0098748F"/>
    <w:rsid w:val="00987521"/>
    <w:rsid w:val="009908C6"/>
    <w:rsid w:val="00990E59"/>
    <w:rsid w:val="009913D9"/>
    <w:rsid w:val="00993858"/>
    <w:rsid w:val="009947AF"/>
    <w:rsid w:val="009960B4"/>
    <w:rsid w:val="00996691"/>
    <w:rsid w:val="00996CA8"/>
    <w:rsid w:val="00997AAE"/>
    <w:rsid w:val="00997F8E"/>
    <w:rsid w:val="009A03AE"/>
    <w:rsid w:val="009A0B2B"/>
    <w:rsid w:val="009A2A85"/>
    <w:rsid w:val="009A2C36"/>
    <w:rsid w:val="009A3528"/>
    <w:rsid w:val="009A3C3D"/>
    <w:rsid w:val="009A3C56"/>
    <w:rsid w:val="009A4CEA"/>
    <w:rsid w:val="009A520A"/>
    <w:rsid w:val="009A52E7"/>
    <w:rsid w:val="009A556E"/>
    <w:rsid w:val="009A5B6A"/>
    <w:rsid w:val="009A5C46"/>
    <w:rsid w:val="009A5D95"/>
    <w:rsid w:val="009A79DB"/>
    <w:rsid w:val="009B151E"/>
    <w:rsid w:val="009B1B4F"/>
    <w:rsid w:val="009B1CB2"/>
    <w:rsid w:val="009B2019"/>
    <w:rsid w:val="009B2382"/>
    <w:rsid w:val="009B37A5"/>
    <w:rsid w:val="009B4B41"/>
    <w:rsid w:val="009B4CBB"/>
    <w:rsid w:val="009B4D5E"/>
    <w:rsid w:val="009B5713"/>
    <w:rsid w:val="009B61F6"/>
    <w:rsid w:val="009B72F6"/>
    <w:rsid w:val="009B78C8"/>
    <w:rsid w:val="009B7F62"/>
    <w:rsid w:val="009C00F6"/>
    <w:rsid w:val="009C0AFB"/>
    <w:rsid w:val="009C108D"/>
    <w:rsid w:val="009C1977"/>
    <w:rsid w:val="009C2EA9"/>
    <w:rsid w:val="009C36D4"/>
    <w:rsid w:val="009C3973"/>
    <w:rsid w:val="009C3A23"/>
    <w:rsid w:val="009C41F4"/>
    <w:rsid w:val="009C513C"/>
    <w:rsid w:val="009C63B5"/>
    <w:rsid w:val="009C6E42"/>
    <w:rsid w:val="009D068E"/>
    <w:rsid w:val="009D0912"/>
    <w:rsid w:val="009D0F2C"/>
    <w:rsid w:val="009D27BA"/>
    <w:rsid w:val="009D2AAB"/>
    <w:rsid w:val="009D3442"/>
    <w:rsid w:val="009D5790"/>
    <w:rsid w:val="009D6C43"/>
    <w:rsid w:val="009D6F41"/>
    <w:rsid w:val="009D7186"/>
    <w:rsid w:val="009D71BA"/>
    <w:rsid w:val="009E1561"/>
    <w:rsid w:val="009E1606"/>
    <w:rsid w:val="009E194A"/>
    <w:rsid w:val="009E1D0B"/>
    <w:rsid w:val="009E2803"/>
    <w:rsid w:val="009E38E5"/>
    <w:rsid w:val="009E398A"/>
    <w:rsid w:val="009E54BC"/>
    <w:rsid w:val="009E68D0"/>
    <w:rsid w:val="009E706B"/>
    <w:rsid w:val="009E76AA"/>
    <w:rsid w:val="009F05B3"/>
    <w:rsid w:val="009F15BD"/>
    <w:rsid w:val="009F214B"/>
    <w:rsid w:val="009F2BAA"/>
    <w:rsid w:val="009F3850"/>
    <w:rsid w:val="009F3F14"/>
    <w:rsid w:val="009F4042"/>
    <w:rsid w:val="009F498B"/>
    <w:rsid w:val="009F4CE3"/>
    <w:rsid w:val="009F5A84"/>
    <w:rsid w:val="009F5C1A"/>
    <w:rsid w:val="009F5E31"/>
    <w:rsid w:val="009F7A80"/>
    <w:rsid w:val="009F7E81"/>
    <w:rsid w:val="009F7ED1"/>
    <w:rsid w:val="00A00BC6"/>
    <w:rsid w:val="00A00C5F"/>
    <w:rsid w:val="00A0237D"/>
    <w:rsid w:val="00A0252B"/>
    <w:rsid w:val="00A030AD"/>
    <w:rsid w:val="00A0483F"/>
    <w:rsid w:val="00A04E78"/>
    <w:rsid w:val="00A04F42"/>
    <w:rsid w:val="00A058C1"/>
    <w:rsid w:val="00A06010"/>
    <w:rsid w:val="00A06378"/>
    <w:rsid w:val="00A06C6C"/>
    <w:rsid w:val="00A06C8B"/>
    <w:rsid w:val="00A07541"/>
    <w:rsid w:val="00A079F8"/>
    <w:rsid w:val="00A102EC"/>
    <w:rsid w:val="00A1042F"/>
    <w:rsid w:val="00A11645"/>
    <w:rsid w:val="00A117A0"/>
    <w:rsid w:val="00A1193E"/>
    <w:rsid w:val="00A11949"/>
    <w:rsid w:val="00A12EF6"/>
    <w:rsid w:val="00A136C3"/>
    <w:rsid w:val="00A139DD"/>
    <w:rsid w:val="00A13B95"/>
    <w:rsid w:val="00A13D8F"/>
    <w:rsid w:val="00A13EE5"/>
    <w:rsid w:val="00A14CA3"/>
    <w:rsid w:val="00A16279"/>
    <w:rsid w:val="00A1650F"/>
    <w:rsid w:val="00A17398"/>
    <w:rsid w:val="00A17551"/>
    <w:rsid w:val="00A20C72"/>
    <w:rsid w:val="00A2110A"/>
    <w:rsid w:val="00A219D8"/>
    <w:rsid w:val="00A22298"/>
    <w:rsid w:val="00A22A59"/>
    <w:rsid w:val="00A22C17"/>
    <w:rsid w:val="00A22D4D"/>
    <w:rsid w:val="00A24D05"/>
    <w:rsid w:val="00A30592"/>
    <w:rsid w:val="00A3079F"/>
    <w:rsid w:val="00A30AD6"/>
    <w:rsid w:val="00A317D4"/>
    <w:rsid w:val="00A3237A"/>
    <w:rsid w:val="00A338D4"/>
    <w:rsid w:val="00A33B6E"/>
    <w:rsid w:val="00A34527"/>
    <w:rsid w:val="00A36113"/>
    <w:rsid w:val="00A37E85"/>
    <w:rsid w:val="00A40788"/>
    <w:rsid w:val="00A41950"/>
    <w:rsid w:val="00A42713"/>
    <w:rsid w:val="00A431C9"/>
    <w:rsid w:val="00A43982"/>
    <w:rsid w:val="00A4441D"/>
    <w:rsid w:val="00A44BB3"/>
    <w:rsid w:val="00A45055"/>
    <w:rsid w:val="00A45EEB"/>
    <w:rsid w:val="00A46800"/>
    <w:rsid w:val="00A46DB4"/>
    <w:rsid w:val="00A473EB"/>
    <w:rsid w:val="00A47A94"/>
    <w:rsid w:val="00A50663"/>
    <w:rsid w:val="00A51947"/>
    <w:rsid w:val="00A5203B"/>
    <w:rsid w:val="00A521BD"/>
    <w:rsid w:val="00A52AFD"/>
    <w:rsid w:val="00A52EF9"/>
    <w:rsid w:val="00A53216"/>
    <w:rsid w:val="00A533B1"/>
    <w:rsid w:val="00A5485D"/>
    <w:rsid w:val="00A572A7"/>
    <w:rsid w:val="00A5744D"/>
    <w:rsid w:val="00A5784E"/>
    <w:rsid w:val="00A601AA"/>
    <w:rsid w:val="00A601F3"/>
    <w:rsid w:val="00A60BBE"/>
    <w:rsid w:val="00A61817"/>
    <w:rsid w:val="00A61AB7"/>
    <w:rsid w:val="00A632DE"/>
    <w:rsid w:val="00A6373A"/>
    <w:rsid w:val="00A64D8B"/>
    <w:rsid w:val="00A6560A"/>
    <w:rsid w:val="00A66DB3"/>
    <w:rsid w:val="00A67390"/>
    <w:rsid w:val="00A67A43"/>
    <w:rsid w:val="00A70A6A"/>
    <w:rsid w:val="00A70BA6"/>
    <w:rsid w:val="00A72444"/>
    <w:rsid w:val="00A72CE1"/>
    <w:rsid w:val="00A7314F"/>
    <w:rsid w:val="00A7359E"/>
    <w:rsid w:val="00A73A42"/>
    <w:rsid w:val="00A75E46"/>
    <w:rsid w:val="00A761DB"/>
    <w:rsid w:val="00A76272"/>
    <w:rsid w:val="00A8281B"/>
    <w:rsid w:val="00A84616"/>
    <w:rsid w:val="00A847A2"/>
    <w:rsid w:val="00A84A1D"/>
    <w:rsid w:val="00A84B68"/>
    <w:rsid w:val="00A862CE"/>
    <w:rsid w:val="00A86478"/>
    <w:rsid w:val="00A86636"/>
    <w:rsid w:val="00A870C3"/>
    <w:rsid w:val="00A87C56"/>
    <w:rsid w:val="00A90D28"/>
    <w:rsid w:val="00A918D8"/>
    <w:rsid w:val="00A93625"/>
    <w:rsid w:val="00A94710"/>
    <w:rsid w:val="00A9489F"/>
    <w:rsid w:val="00A95B6B"/>
    <w:rsid w:val="00AA0021"/>
    <w:rsid w:val="00AA08FD"/>
    <w:rsid w:val="00AA13FF"/>
    <w:rsid w:val="00AA147D"/>
    <w:rsid w:val="00AA20E5"/>
    <w:rsid w:val="00AA29A5"/>
    <w:rsid w:val="00AA4B98"/>
    <w:rsid w:val="00AA5A74"/>
    <w:rsid w:val="00AA5DF1"/>
    <w:rsid w:val="00AA6E07"/>
    <w:rsid w:val="00AA71EA"/>
    <w:rsid w:val="00AB0015"/>
    <w:rsid w:val="00AB079A"/>
    <w:rsid w:val="00AB3357"/>
    <w:rsid w:val="00AB390A"/>
    <w:rsid w:val="00AB492D"/>
    <w:rsid w:val="00AB6BC9"/>
    <w:rsid w:val="00AC12A2"/>
    <w:rsid w:val="00AC21A7"/>
    <w:rsid w:val="00AC3D4F"/>
    <w:rsid w:val="00AC43E8"/>
    <w:rsid w:val="00AC5043"/>
    <w:rsid w:val="00AC5653"/>
    <w:rsid w:val="00AC5C28"/>
    <w:rsid w:val="00AC6294"/>
    <w:rsid w:val="00AC650B"/>
    <w:rsid w:val="00AC6656"/>
    <w:rsid w:val="00AC6AB4"/>
    <w:rsid w:val="00AC7020"/>
    <w:rsid w:val="00AC7E1B"/>
    <w:rsid w:val="00AD05AB"/>
    <w:rsid w:val="00AD07D5"/>
    <w:rsid w:val="00AD08EC"/>
    <w:rsid w:val="00AD0CA4"/>
    <w:rsid w:val="00AD0F56"/>
    <w:rsid w:val="00AD1D3B"/>
    <w:rsid w:val="00AD1F8A"/>
    <w:rsid w:val="00AD21CB"/>
    <w:rsid w:val="00AD247C"/>
    <w:rsid w:val="00AD2F8C"/>
    <w:rsid w:val="00AD3947"/>
    <w:rsid w:val="00AD531B"/>
    <w:rsid w:val="00AD5B32"/>
    <w:rsid w:val="00AD7D5A"/>
    <w:rsid w:val="00AE0839"/>
    <w:rsid w:val="00AE1132"/>
    <w:rsid w:val="00AE30DC"/>
    <w:rsid w:val="00AE34F5"/>
    <w:rsid w:val="00AE55D1"/>
    <w:rsid w:val="00AE6019"/>
    <w:rsid w:val="00AE6CF7"/>
    <w:rsid w:val="00AF01A1"/>
    <w:rsid w:val="00AF0659"/>
    <w:rsid w:val="00AF1110"/>
    <w:rsid w:val="00AF1385"/>
    <w:rsid w:val="00AF14E0"/>
    <w:rsid w:val="00AF20B9"/>
    <w:rsid w:val="00AF357A"/>
    <w:rsid w:val="00AF37EF"/>
    <w:rsid w:val="00AF4781"/>
    <w:rsid w:val="00AF4AC7"/>
    <w:rsid w:val="00AF7049"/>
    <w:rsid w:val="00AF7861"/>
    <w:rsid w:val="00AF7D99"/>
    <w:rsid w:val="00B00D9D"/>
    <w:rsid w:val="00B02250"/>
    <w:rsid w:val="00B02353"/>
    <w:rsid w:val="00B0316E"/>
    <w:rsid w:val="00B057BB"/>
    <w:rsid w:val="00B05F22"/>
    <w:rsid w:val="00B1028B"/>
    <w:rsid w:val="00B10C09"/>
    <w:rsid w:val="00B116BF"/>
    <w:rsid w:val="00B11F45"/>
    <w:rsid w:val="00B12BD6"/>
    <w:rsid w:val="00B12D2A"/>
    <w:rsid w:val="00B13176"/>
    <w:rsid w:val="00B1436C"/>
    <w:rsid w:val="00B14E9F"/>
    <w:rsid w:val="00B15300"/>
    <w:rsid w:val="00B1673D"/>
    <w:rsid w:val="00B16839"/>
    <w:rsid w:val="00B17199"/>
    <w:rsid w:val="00B17B36"/>
    <w:rsid w:val="00B219B2"/>
    <w:rsid w:val="00B223CB"/>
    <w:rsid w:val="00B23313"/>
    <w:rsid w:val="00B2331F"/>
    <w:rsid w:val="00B25AC4"/>
    <w:rsid w:val="00B26F1B"/>
    <w:rsid w:val="00B27CA8"/>
    <w:rsid w:val="00B3065B"/>
    <w:rsid w:val="00B30DA6"/>
    <w:rsid w:val="00B3247D"/>
    <w:rsid w:val="00B329FE"/>
    <w:rsid w:val="00B32B17"/>
    <w:rsid w:val="00B32B64"/>
    <w:rsid w:val="00B34373"/>
    <w:rsid w:val="00B36EC1"/>
    <w:rsid w:val="00B37742"/>
    <w:rsid w:val="00B40485"/>
    <w:rsid w:val="00B409FC"/>
    <w:rsid w:val="00B41779"/>
    <w:rsid w:val="00B418D6"/>
    <w:rsid w:val="00B41D4C"/>
    <w:rsid w:val="00B4200C"/>
    <w:rsid w:val="00B4261F"/>
    <w:rsid w:val="00B45681"/>
    <w:rsid w:val="00B46576"/>
    <w:rsid w:val="00B471B5"/>
    <w:rsid w:val="00B47FBC"/>
    <w:rsid w:val="00B515A6"/>
    <w:rsid w:val="00B521AB"/>
    <w:rsid w:val="00B539D5"/>
    <w:rsid w:val="00B54E7F"/>
    <w:rsid w:val="00B5593B"/>
    <w:rsid w:val="00B55AB0"/>
    <w:rsid w:val="00B57268"/>
    <w:rsid w:val="00B60E54"/>
    <w:rsid w:val="00B620DB"/>
    <w:rsid w:val="00B6456F"/>
    <w:rsid w:val="00B654C6"/>
    <w:rsid w:val="00B6702B"/>
    <w:rsid w:val="00B673AE"/>
    <w:rsid w:val="00B704A3"/>
    <w:rsid w:val="00B705CD"/>
    <w:rsid w:val="00B7149E"/>
    <w:rsid w:val="00B71F41"/>
    <w:rsid w:val="00B73A5F"/>
    <w:rsid w:val="00B73B99"/>
    <w:rsid w:val="00B73DD1"/>
    <w:rsid w:val="00B74D97"/>
    <w:rsid w:val="00B75E66"/>
    <w:rsid w:val="00B76A45"/>
    <w:rsid w:val="00B7766B"/>
    <w:rsid w:val="00B7795E"/>
    <w:rsid w:val="00B80299"/>
    <w:rsid w:val="00B80379"/>
    <w:rsid w:val="00B807D9"/>
    <w:rsid w:val="00B80D39"/>
    <w:rsid w:val="00B816DE"/>
    <w:rsid w:val="00B81E52"/>
    <w:rsid w:val="00B83980"/>
    <w:rsid w:val="00B86604"/>
    <w:rsid w:val="00B87065"/>
    <w:rsid w:val="00B87CC9"/>
    <w:rsid w:val="00B9021D"/>
    <w:rsid w:val="00B928B1"/>
    <w:rsid w:val="00B92977"/>
    <w:rsid w:val="00B93748"/>
    <w:rsid w:val="00B93D8E"/>
    <w:rsid w:val="00B93EF0"/>
    <w:rsid w:val="00B95E4A"/>
    <w:rsid w:val="00B969FC"/>
    <w:rsid w:val="00BA1646"/>
    <w:rsid w:val="00BA17F3"/>
    <w:rsid w:val="00BA34B0"/>
    <w:rsid w:val="00BA42C0"/>
    <w:rsid w:val="00BA5095"/>
    <w:rsid w:val="00BA5660"/>
    <w:rsid w:val="00BA6670"/>
    <w:rsid w:val="00BA6DFB"/>
    <w:rsid w:val="00BA6F8F"/>
    <w:rsid w:val="00BA7422"/>
    <w:rsid w:val="00BA75E4"/>
    <w:rsid w:val="00BA7676"/>
    <w:rsid w:val="00BA7F11"/>
    <w:rsid w:val="00BB14FB"/>
    <w:rsid w:val="00BB1525"/>
    <w:rsid w:val="00BB174C"/>
    <w:rsid w:val="00BB19ED"/>
    <w:rsid w:val="00BB1DA5"/>
    <w:rsid w:val="00BB2029"/>
    <w:rsid w:val="00BB2EE6"/>
    <w:rsid w:val="00BB3316"/>
    <w:rsid w:val="00BB379A"/>
    <w:rsid w:val="00BB52A1"/>
    <w:rsid w:val="00BB5534"/>
    <w:rsid w:val="00BB6485"/>
    <w:rsid w:val="00BB713B"/>
    <w:rsid w:val="00BB7B75"/>
    <w:rsid w:val="00BB7F7A"/>
    <w:rsid w:val="00BC07E9"/>
    <w:rsid w:val="00BC0B02"/>
    <w:rsid w:val="00BC10ED"/>
    <w:rsid w:val="00BC129E"/>
    <w:rsid w:val="00BC2987"/>
    <w:rsid w:val="00BC3991"/>
    <w:rsid w:val="00BC50D8"/>
    <w:rsid w:val="00BD0550"/>
    <w:rsid w:val="00BD07AF"/>
    <w:rsid w:val="00BD24EF"/>
    <w:rsid w:val="00BD3021"/>
    <w:rsid w:val="00BD3EBE"/>
    <w:rsid w:val="00BD4E17"/>
    <w:rsid w:val="00BD51DB"/>
    <w:rsid w:val="00BD6280"/>
    <w:rsid w:val="00BD6CE1"/>
    <w:rsid w:val="00BD770B"/>
    <w:rsid w:val="00BE042A"/>
    <w:rsid w:val="00BE10E0"/>
    <w:rsid w:val="00BE10F0"/>
    <w:rsid w:val="00BE18F6"/>
    <w:rsid w:val="00BE5B48"/>
    <w:rsid w:val="00BE5BBD"/>
    <w:rsid w:val="00BE5BF3"/>
    <w:rsid w:val="00BE5F3B"/>
    <w:rsid w:val="00BE65C7"/>
    <w:rsid w:val="00BE6EDA"/>
    <w:rsid w:val="00BE72DF"/>
    <w:rsid w:val="00BF0B74"/>
    <w:rsid w:val="00BF37F9"/>
    <w:rsid w:val="00BF3A6E"/>
    <w:rsid w:val="00BF3B08"/>
    <w:rsid w:val="00BF5243"/>
    <w:rsid w:val="00BF58B1"/>
    <w:rsid w:val="00C00E42"/>
    <w:rsid w:val="00C02F61"/>
    <w:rsid w:val="00C03124"/>
    <w:rsid w:val="00C03A2F"/>
    <w:rsid w:val="00C0464C"/>
    <w:rsid w:val="00C0470F"/>
    <w:rsid w:val="00C04F62"/>
    <w:rsid w:val="00C05A04"/>
    <w:rsid w:val="00C05F27"/>
    <w:rsid w:val="00C06196"/>
    <w:rsid w:val="00C10742"/>
    <w:rsid w:val="00C10CE8"/>
    <w:rsid w:val="00C119AE"/>
    <w:rsid w:val="00C125D7"/>
    <w:rsid w:val="00C1442F"/>
    <w:rsid w:val="00C14756"/>
    <w:rsid w:val="00C14B7B"/>
    <w:rsid w:val="00C15A7C"/>
    <w:rsid w:val="00C16403"/>
    <w:rsid w:val="00C16B3E"/>
    <w:rsid w:val="00C178E3"/>
    <w:rsid w:val="00C205CE"/>
    <w:rsid w:val="00C20871"/>
    <w:rsid w:val="00C20ECF"/>
    <w:rsid w:val="00C22898"/>
    <w:rsid w:val="00C22D02"/>
    <w:rsid w:val="00C2401F"/>
    <w:rsid w:val="00C26F90"/>
    <w:rsid w:val="00C302DE"/>
    <w:rsid w:val="00C30ED9"/>
    <w:rsid w:val="00C3229B"/>
    <w:rsid w:val="00C32E83"/>
    <w:rsid w:val="00C33306"/>
    <w:rsid w:val="00C339A2"/>
    <w:rsid w:val="00C3424C"/>
    <w:rsid w:val="00C34FC1"/>
    <w:rsid w:val="00C373E4"/>
    <w:rsid w:val="00C375A3"/>
    <w:rsid w:val="00C401EB"/>
    <w:rsid w:val="00C40B26"/>
    <w:rsid w:val="00C431AC"/>
    <w:rsid w:val="00C4371B"/>
    <w:rsid w:val="00C43CE5"/>
    <w:rsid w:val="00C46A49"/>
    <w:rsid w:val="00C46D9D"/>
    <w:rsid w:val="00C4755E"/>
    <w:rsid w:val="00C4797E"/>
    <w:rsid w:val="00C47E9A"/>
    <w:rsid w:val="00C47F2C"/>
    <w:rsid w:val="00C500BB"/>
    <w:rsid w:val="00C503DE"/>
    <w:rsid w:val="00C5089E"/>
    <w:rsid w:val="00C519DD"/>
    <w:rsid w:val="00C54133"/>
    <w:rsid w:val="00C54FC2"/>
    <w:rsid w:val="00C55BEC"/>
    <w:rsid w:val="00C55C88"/>
    <w:rsid w:val="00C55DA5"/>
    <w:rsid w:val="00C564D9"/>
    <w:rsid w:val="00C56CBF"/>
    <w:rsid w:val="00C57D8D"/>
    <w:rsid w:val="00C61738"/>
    <w:rsid w:val="00C623AA"/>
    <w:rsid w:val="00C64768"/>
    <w:rsid w:val="00C658F7"/>
    <w:rsid w:val="00C659B6"/>
    <w:rsid w:val="00C662E7"/>
    <w:rsid w:val="00C66765"/>
    <w:rsid w:val="00C676E6"/>
    <w:rsid w:val="00C70CD7"/>
    <w:rsid w:val="00C72A49"/>
    <w:rsid w:val="00C736D7"/>
    <w:rsid w:val="00C75879"/>
    <w:rsid w:val="00C75939"/>
    <w:rsid w:val="00C76083"/>
    <w:rsid w:val="00C763B3"/>
    <w:rsid w:val="00C77599"/>
    <w:rsid w:val="00C7793B"/>
    <w:rsid w:val="00C80215"/>
    <w:rsid w:val="00C805E1"/>
    <w:rsid w:val="00C80847"/>
    <w:rsid w:val="00C8171A"/>
    <w:rsid w:val="00C81B10"/>
    <w:rsid w:val="00C839B4"/>
    <w:rsid w:val="00C83C1F"/>
    <w:rsid w:val="00C83CD1"/>
    <w:rsid w:val="00C84271"/>
    <w:rsid w:val="00C85374"/>
    <w:rsid w:val="00C8568D"/>
    <w:rsid w:val="00C85895"/>
    <w:rsid w:val="00C85923"/>
    <w:rsid w:val="00C86300"/>
    <w:rsid w:val="00C87B63"/>
    <w:rsid w:val="00C87D7B"/>
    <w:rsid w:val="00C903C8"/>
    <w:rsid w:val="00C904FB"/>
    <w:rsid w:val="00C90CD3"/>
    <w:rsid w:val="00C914C5"/>
    <w:rsid w:val="00C91899"/>
    <w:rsid w:val="00C91B30"/>
    <w:rsid w:val="00C92E86"/>
    <w:rsid w:val="00C932F9"/>
    <w:rsid w:val="00C93619"/>
    <w:rsid w:val="00C93D57"/>
    <w:rsid w:val="00C942AD"/>
    <w:rsid w:val="00C964C0"/>
    <w:rsid w:val="00C97F95"/>
    <w:rsid w:val="00C97FDA"/>
    <w:rsid w:val="00CA27C5"/>
    <w:rsid w:val="00CA2E31"/>
    <w:rsid w:val="00CA2FF2"/>
    <w:rsid w:val="00CA41A3"/>
    <w:rsid w:val="00CA4264"/>
    <w:rsid w:val="00CA6297"/>
    <w:rsid w:val="00CB2713"/>
    <w:rsid w:val="00CB2AAF"/>
    <w:rsid w:val="00CB2FE1"/>
    <w:rsid w:val="00CB34F8"/>
    <w:rsid w:val="00CB3EC3"/>
    <w:rsid w:val="00CB55E2"/>
    <w:rsid w:val="00CB5F4C"/>
    <w:rsid w:val="00CB78C6"/>
    <w:rsid w:val="00CB7E14"/>
    <w:rsid w:val="00CB7FC0"/>
    <w:rsid w:val="00CC1CA2"/>
    <w:rsid w:val="00CC25D5"/>
    <w:rsid w:val="00CC26EF"/>
    <w:rsid w:val="00CC31D4"/>
    <w:rsid w:val="00CC5127"/>
    <w:rsid w:val="00CC5347"/>
    <w:rsid w:val="00CC61DE"/>
    <w:rsid w:val="00CC6A00"/>
    <w:rsid w:val="00CC7EB0"/>
    <w:rsid w:val="00CD053C"/>
    <w:rsid w:val="00CD143C"/>
    <w:rsid w:val="00CD1F04"/>
    <w:rsid w:val="00CD1F30"/>
    <w:rsid w:val="00CD215E"/>
    <w:rsid w:val="00CD33DD"/>
    <w:rsid w:val="00CD347A"/>
    <w:rsid w:val="00CD3874"/>
    <w:rsid w:val="00CD481C"/>
    <w:rsid w:val="00CD4DCE"/>
    <w:rsid w:val="00CD4E27"/>
    <w:rsid w:val="00CD58F1"/>
    <w:rsid w:val="00CD6106"/>
    <w:rsid w:val="00CE00BF"/>
    <w:rsid w:val="00CE0349"/>
    <w:rsid w:val="00CE03C7"/>
    <w:rsid w:val="00CE0C10"/>
    <w:rsid w:val="00CE1631"/>
    <w:rsid w:val="00CE38EB"/>
    <w:rsid w:val="00CE5082"/>
    <w:rsid w:val="00CE5C62"/>
    <w:rsid w:val="00CE60DB"/>
    <w:rsid w:val="00CE7C5B"/>
    <w:rsid w:val="00CE7E13"/>
    <w:rsid w:val="00CE7E6A"/>
    <w:rsid w:val="00CF1B88"/>
    <w:rsid w:val="00CF2A69"/>
    <w:rsid w:val="00CF3966"/>
    <w:rsid w:val="00CF480A"/>
    <w:rsid w:val="00CF564F"/>
    <w:rsid w:val="00CF68EE"/>
    <w:rsid w:val="00D007D5"/>
    <w:rsid w:val="00D015F9"/>
    <w:rsid w:val="00D02D76"/>
    <w:rsid w:val="00D0339E"/>
    <w:rsid w:val="00D04690"/>
    <w:rsid w:val="00D0630D"/>
    <w:rsid w:val="00D06BF4"/>
    <w:rsid w:val="00D0714F"/>
    <w:rsid w:val="00D07A05"/>
    <w:rsid w:val="00D07ADD"/>
    <w:rsid w:val="00D07FC9"/>
    <w:rsid w:val="00D10A96"/>
    <w:rsid w:val="00D110C3"/>
    <w:rsid w:val="00D124AF"/>
    <w:rsid w:val="00D15612"/>
    <w:rsid w:val="00D165F7"/>
    <w:rsid w:val="00D172D2"/>
    <w:rsid w:val="00D21698"/>
    <w:rsid w:val="00D22103"/>
    <w:rsid w:val="00D2303B"/>
    <w:rsid w:val="00D23B5F"/>
    <w:rsid w:val="00D254F2"/>
    <w:rsid w:val="00D25A1B"/>
    <w:rsid w:val="00D26886"/>
    <w:rsid w:val="00D26AC8"/>
    <w:rsid w:val="00D277AD"/>
    <w:rsid w:val="00D27D63"/>
    <w:rsid w:val="00D30C2B"/>
    <w:rsid w:val="00D320B3"/>
    <w:rsid w:val="00D32787"/>
    <w:rsid w:val="00D33088"/>
    <w:rsid w:val="00D33457"/>
    <w:rsid w:val="00D34936"/>
    <w:rsid w:val="00D35CC1"/>
    <w:rsid w:val="00D37251"/>
    <w:rsid w:val="00D408BE"/>
    <w:rsid w:val="00D43B33"/>
    <w:rsid w:val="00D43B6D"/>
    <w:rsid w:val="00D43F6C"/>
    <w:rsid w:val="00D4529B"/>
    <w:rsid w:val="00D479BE"/>
    <w:rsid w:val="00D47D13"/>
    <w:rsid w:val="00D515C3"/>
    <w:rsid w:val="00D51AC2"/>
    <w:rsid w:val="00D51BFE"/>
    <w:rsid w:val="00D51F44"/>
    <w:rsid w:val="00D52D39"/>
    <w:rsid w:val="00D53081"/>
    <w:rsid w:val="00D54B3A"/>
    <w:rsid w:val="00D56200"/>
    <w:rsid w:val="00D56C74"/>
    <w:rsid w:val="00D5708D"/>
    <w:rsid w:val="00D573F1"/>
    <w:rsid w:val="00D575DF"/>
    <w:rsid w:val="00D614C9"/>
    <w:rsid w:val="00D637DD"/>
    <w:rsid w:val="00D6434B"/>
    <w:rsid w:val="00D6544D"/>
    <w:rsid w:val="00D654EB"/>
    <w:rsid w:val="00D67151"/>
    <w:rsid w:val="00D703E1"/>
    <w:rsid w:val="00D70C87"/>
    <w:rsid w:val="00D71500"/>
    <w:rsid w:val="00D72B85"/>
    <w:rsid w:val="00D72DE3"/>
    <w:rsid w:val="00D72FEA"/>
    <w:rsid w:val="00D73F37"/>
    <w:rsid w:val="00D74B78"/>
    <w:rsid w:val="00D769E0"/>
    <w:rsid w:val="00D80102"/>
    <w:rsid w:val="00D80D63"/>
    <w:rsid w:val="00D835F6"/>
    <w:rsid w:val="00D84C3A"/>
    <w:rsid w:val="00D84E63"/>
    <w:rsid w:val="00D86B77"/>
    <w:rsid w:val="00D91178"/>
    <w:rsid w:val="00D919B6"/>
    <w:rsid w:val="00D923B5"/>
    <w:rsid w:val="00D93BA4"/>
    <w:rsid w:val="00D94ABD"/>
    <w:rsid w:val="00D9589A"/>
    <w:rsid w:val="00D95915"/>
    <w:rsid w:val="00D961C5"/>
    <w:rsid w:val="00D96E5E"/>
    <w:rsid w:val="00D97F77"/>
    <w:rsid w:val="00DA5AD3"/>
    <w:rsid w:val="00DA5C2F"/>
    <w:rsid w:val="00DA61E1"/>
    <w:rsid w:val="00DA6559"/>
    <w:rsid w:val="00DA7963"/>
    <w:rsid w:val="00DB0490"/>
    <w:rsid w:val="00DB07B1"/>
    <w:rsid w:val="00DB0A64"/>
    <w:rsid w:val="00DB3C41"/>
    <w:rsid w:val="00DB48F4"/>
    <w:rsid w:val="00DB679F"/>
    <w:rsid w:val="00DB6FBA"/>
    <w:rsid w:val="00DB722A"/>
    <w:rsid w:val="00DB7B79"/>
    <w:rsid w:val="00DC0CCF"/>
    <w:rsid w:val="00DC1565"/>
    <w:rsid w:val="00DC1CE1"/>
    <w:rsid w:val="00DC1EA1"/>
    <w:rsid w:val="00DC2682"/>
    <w:rsid w:val="00DC5C87"/>
    <w:rsid w:val="00DC62D1"/>
    <w:rsid w:val="00DC707F"/>
    <w:rsid w:val="00DD0394"/>
    <w:rsid w:val="00DD1314"/>
    <w:rsid w:val="00DD1966"/>
    <w:rsid w:val="00DD1E04"/>
    <w:rsid w:val="00DD201D"/>
    <w:rsid w:val="00DD22A6"/>
    <w:rsid w:val="00DD28C2"/>
    <w:rsid w:val="00DD29F2"/>
    <w:rsid w:val="00DD3C66"/>
    <w:rsid w:val="00DD455D"/>
    <w:rsid w:val="00DD4C07"/>
    <w:rsid w:val="00DD5409"/>
    <w:rsid w:val="00DD59EA"/>
    <w:rsid w:val="00DD66D5"/>
    <w:rsid w:val="00DD6A38"/>
    <w:rsid w:val="00DD7B1D"/>
    <w:rsid w:val="00DE0231"/>
    <w:rsid w:val="00DE08DE"/>
    <w:rsid w:val="00DE0DE6"/>
    <w:rsid w:val="00DE1E7C"/>
    <w:rsid w:val="00DE2A68"/>
    <w:rsid w:val="00DE6064"/>
    <w:rsid w:val="00DE7BE6"/>
    <w:rsid w:val="00DF00FC"/>
    <w:rsid w:val="00DF0A80"/>
    <w:rsid w:val="00DF2384"/>
    <w:rsid w:val="00DF3166"/>
    <w:rsid w:val="00DF333E"/>
    <w:rsid w:val="00DF500E"/>
    <w:rsid w:val="00DF556B"/>
    <w:rsid w:val="00DF5AE2"/>
    <w:rsid w:val="00DF6667"/>
    <w:rsid w:val="00DF6917"/>
    <w:rsid w:val="00DF74D1"/>
    <w:rsid w:val="00DF7536"/>
    <w:rsid w:val="00E03585"/>
    <w:rsid w:val="00E03AE6"/>
    <w:rsid w:val="00E03BEF"/>
    <w:rsid w:val="00E045E0"/>
    <w:rsid w:val="00E046B3"/>
    <w:rsid w:val="00E04BE2"/>
    <w:rsid w:val="00E0697C"/>
    <w:rsid w:val="00E06A35"/>
    <w:rsid w:val="00E06C9E"/>
    <w:rsid w:val="00E10341"/>
    <w:rsid w:val="00E10789"/>
    <w:rsid w:val="00E10BD3"/>
    <w:rsid w:val="00E11D6C"/>
    <w:rsid w:val="00E1305A"/>
    <w:rsid w:val="00E139B3"/>
    <w:rsid w:val="00E14134"/>
    <w:rsid w:val="00E14826"/>
    <w:rsid w:val="00E1568E"/>
    <w:rsid w:val="00E15E52"/>
    <w:rsid w:val="00E17B29"/>
    <w:rsid w:val="00E20A06"/>
    <w:rsid w:val="00E20D1B"/>
    <w:rsid w:val="00E214E6"/>
    <w:rsid w:val="00E226EA"/>
    <w:rsid w:val="00E235B9"/>
    <w:rsid w:val="00E23939"/>
    <w:rsid w:val="00E23F2E"/>
    <w:rsid w:val="00E24DD4"/>
    <w:rsid w:val="00E26D09"/>
    <w:rsid w:val="00E27242"/>
    <w:rsid w:val="00E30190"/>
    <w:rsid w:val="00E304AB"/>
    <w:rsid w:val="00E3126E"/>
    <w:rsid w:val="00E315C3"/>
    <w:rsid w:val="00E31DED"/>
    <w:rsid w:val="00E32255"/>
    <w:rsid w:val="00E32700"/>
    <w:rsid w:val="00E32889"/>
    <w:rsid w:val="00E32F10"/>
    <w:rsid w:val="00E350F6"/>
    <w:rsid w:val="00E35A31"/>
    <w:rsid w:val="00E361FC"/>
    <w:rsid w:val="00E407A3"/>
    <w:rsid w:val="00E408A8"/>
    <w:rsid w:val="00E40AC3"/>
    <w:rsid w:val="00E424AA"/>
    <w:rsid w:val="00E4385B"/>
    <w:rsid w:val="00E4422F"/>
    <w:rsid w:val="00E44AD3"/>
    <w:rsid w:val="00E4507B"/>
    <w:rsid w:val="00E45C26"/>
    <w:rsid w:val="00E45F60"/>
    <w:rsid w:val="00E462E7"/>
    <w:rsid w:val="00E47511"/>
    <w:rsid w:val="00E478B9"/>
    <w:rsid w:val="00E50260"/>
    <w:rsid w:val="00E5031C"/>
    <w:rsid w:val="00E519AB"/>
    <w:rsid w:val="00E529C0"/>
    <w:rsid w:val="00E52B12"/>
    <w:rsid w:val="00E52FD7"/>
    <w:rsid w:val="00E53817"/>
    <w:rsid w:val="00E54BA4"/>
    <w:rsid w:val="00E54C5D"/>
    <w:rsid w:val="00E5596C"/>
    <w:rsid w:val="00E56410"/>
    <w:rsid w:val="00E60310"/>
    <w:rsid w:val="00E607CE"/>
    <w:rsid w:val="00E60BB7"/>
    <w:rsid w:val="00E6192A"/>
    <w:rsid w:val="00E6203B"/>
    <w:rsid w:val="00E6223E"/>
    <w:rsid w:val="00E62405"/>
    <w:rsid w:val="00E62577"/>
    <w:rsid w:val="00E63B55"/>
    <w:rsid w:val="00E65745"/>
    <w:rsid w:val="00E658E4"/>
    <w:rsid w:val="00E65AA2"/>
    <w:rsid w:val="00E66AD6"/>
    <w:rsid w:val="00E66B8A"/>
    <w:rsid w:val="00E67727"/>
    <w:rsid w:val="00E702BE"/>
    <w:rsid w:val="00E71113"/>
    <w:rsid w:val="00E717E2"/>
    <w:rsid w:val="00E71BD4"/>
    <w:rsid w:val="00E7326E"/>
    <w:rsid w:val="00E73685"/>
    <w:rsid w:val="00E736BA"/>
    <w:rsid w:val="00E74980"/>
    <w:rsid w:val="00E75C4B"/>
    <w:rsid w:val="00E75D7A"/>
    <w:rsid w:val="00E7642D"/>
    <w:rsid w:val="00E76A16"/>
    <w:rsid w:val="00E773C7"/>
    <w:rsid w:val="00E804DC"/>
    <w:rsid w:val="00E8096F"/>
    <w:rsid w:val="00E80E8A"/>
    <w:rsid w:val="00E812D6"/>
    <w:rsid w:val="00E81720"/>
    <w:rsid w:val="00E81F90"/>
    <w:rsid w:val="00E82A4E"/>
    <w:rsid w:val="00E82EAF"/>
    <w:rsid w:val="00E8303C"/>
    <w:rsid w:val="00E83330"/>
    <w:rsid w:val="00E8349C"/>
    <w:rsid w:val="00E858C3"/>
    <w:rsid w:val="00E86C45"/>
    <w:rsid w:val="00E91108"/>
    <w:rsid w:val="00E92D9A"/>
    <w:rsid w:val="00E93C2C"/>
    <w:rsid w:val="00E93E38"/>
    <w:rsid w:val="00E94B15"/>
    <w:rsid w:val="00E95379"/>
    <w:rsid w:val="00E96F1A"/>
    <w:rsid w:val="00E972E7"/>
    <w:rsid w:val="00E97A9A"/>
    <w:rsid w:val="00EA1315"/>
    <w:rsid w:val="00EA2625"/>
    <w:rsid w:val="00EA444A"/>
    <w:rsid w:val="00EA4765"/>
    <w:rsid w:val="00EA4850"/>
    <w:rsid w:val="00EA59EA"/>
    <w:rsid w:val="00EB2096"/>
    <w:rsid w:val="00EB2127"/>
    <w:rsid w:val="00EB21FE"/>
    <w:rsid w:val="00EB25DE"/>
    <w:rsid w:val="00EB26A6"/>
    <w:rsid w:val="00EB28D2"/>
    <w:rsid w:val="00EB2DD6"/>
    <w:rsid w:val="00EB2DD8"/>
    <w:rsid w:val="00EB3ACE"/>
    <w:rsid w:val="00EB55D9"/>
    <w:rsid w:val="00EB5A64"/>
    <w:rsid w:val="00EB72AA"/>
    <w:rsid w:val="00EB7AE5"/>
    <w:rsid w:val="00EC0C97"/>
    <w:rsid w:val="00EC1E09"/>
    <w:rsid w:val="00EC3D72"/>
    <w:rsid w:val="00EC4405"/>
    <w:rsid w:val="00EC501D"/>
    <w:rsid w:val="00EC59F0"/>
    <w:rsid w:val="00EC6615"/>
    <w:rsid w:val="00EC7765"/>
    <w:rsid w:val="00EC7767"/>
    <w:rsid w:val="00ED0EF0"/>
    <w:rsid w:val="00ED220E"/>
    <w:rsid w:val="00ED3421"/>
    <w:rsid w:val="00ED3924"/>
    <w:rsid w:val="00ED42BE"/>
    <w:rsid w:val="00ED4C06"/>
    <w:rsid w:val="00ED534C"/>
    <w:rsid w:val="00ED5844"/>
    <w:rsid w:val="00ED5913"/>
    <w:rsid w:val="00ED7B2F"/>
    <w:rsid w:val="00EE1996"/>
    <w:rsid w:val="00EE23DB"/>
    <w:rsid w:val="00EE3240"/>
    <w:rsid w:val="00EE337D"/>
    <w:rsid w:val="00EE3C32"/>
    <w:rsid w:val="00EE5011"/>
    <w:rsid w:val="00EE5494"/>
    <w:rsid w:val="00EE6114"/>
    <w:rsid w:val="00EE6190"/>
    <w:rsid w:val="00EF0440"/>
    <w:rsid w:val="00EF0643"/>
    <w:rsid w:val="00EF0EDA"/>
    <w:rsid w:val="00EF1E04"/>
    <w:rsid w:val="00EF1E90"/>
    <w:rsid w:val="00EF29A3"/>
    <w:rsid w:val="00EF2E4F"/>
    <w:rsid w:val="00EF56EA"/>
    <w:rsid w:val="00EF61E5"/>
    <w:rsid w:val="00EF6467"/>
    <w:rsid w:val="00EF664D"/>
    <w:rsid w:val="00EF6842"/>
    <w:rsid w:val="00F015BC"/>
    <w:rsid w:val="00F02787"/>
    <w:rsid w:val="00F028E7"/>
    <w:rsid w:val="00F03703"/>
    <w:rsid w:val="00F03D37"/>
    <w:rsid w:val="00F0420A"/>
    <w:rsid w:val="00F0508C"/>
    <w:rsid w:val="00F07C10"/>
    <w:rsid w:val="00F07E8F"/>
    <w:rsid w:val="00F118C1"/>
    <w:rsid w:val="00F12212"/>
    <w:rsid w:val="00F1310B"/>
    <w:rsid w:val="00F134AC"/>
    <w:rsid w:val="00F13C05"/>
    <w:rsid w:val="00F147A9"/>
    <w:rsid w:val="00F14F37"/>
    <w:rsid w:val="00F15B54"/>
    <w:rsid w:val="00F15D30"/>
    <w:rsid w:val="00F179F1"/>
    <w:rsid w:val="00F17EDD"/>
    <w:rsid w:val="00F20517"/>
    <w:rsid w:val="00F21083"/>
    <w:rsid w:val="00F2223E"/>
    <w:rsid w:val="00F2459D"/>
    <w:rsid w:val="00F24BBF"/>
    <w:rsid w:val="00F26115"/>
    <w:rsid w:val="00F26411"/>
    <w:rsid w:val="00F2718D"/>
    <w:rsid w:val="00F32398"/>
    <w:rsid w:val="00F32F4A"/>
    <w:rsid w:val="00F33091"/>
    <w:rsid w:val="00F339D8"/>
    <w:rsid w:val="00F3407E"/>
    <w:rsid w:val="00F34217"/>
    <w:rsid w:val="00F35A59"/>
    <w:rsid w:val="00F35B65"/>
    <w:rsid w:val="00F36866"/>
    <w:rsid w:val="00F36D8D"/>
    <w:rsid w:val="00F37B67"/>
    <w:rsid w:val="00F37CC3"/>
    <w:rsid w:val="00F40437"/>
    <w:rsid w:val="00F40540"/>
    <w:rsid w:val="00F4234A"/>
    <w:rsid w:val="00F4262F"/>
    <w:rsid w:val="00F42790"/>
    <w:rsid w:val="00F42F0D"/>
    <w:rsid w:val="00F452E0"/>
    <w:rsid w:val="00F45641"/>
    <w:rsid w:val="00F458A6"/>
    <w:rsid w:val="00F45BEE"/>
    <w:rsid w:val="00F46840"/>
    <w:rsid w:val="00F47132"/>
    <w:rsid w:val="00F47C89"/>
    <w:rsid w:val="00F50E5C"/>
    <w:rsid w:val="00F50F56"/>
    <w:rsid w:val="00F51A00"/>
    <w:rsid w:val="00F51CB5"/>
    <w:rsid w:val="00F52101"/>
    <w:rsid w:val="00F52A66"/>
    <w:rsid w:val="00F52DEA"/>
    <w:rsid w:val="00F53C05"/>
    <w:rsid w:val="00F55024"/>
    <w:rsid w:val="00F551B9"/>
    <w:rsid w:val="00F5606E"/>
    <w:rsid w:val="00F57CD5"/>
    <w:rsid w:val="00F60A02"/>
    <w:rsid w:val="00F60B90"/>
    <w:rsid w:val="00F60FC4"/>
    <w:rsid w:val="00F6177D"/>
    <w:rsid w:val="00F63A6E"/>
    <w:rsid w:val="00F63F68"/>
    <w:rsid w:val="00F6433D"/>
    <w:rsid w:val="00F649B6"/>
    <w:rsid w:val="00F65EE0"/>
    <w:rsid w:val="00F66A90"/>
    <w:rsid w:val="00F67E3B"/>
    <w:rsid w:val="00F70769"/>
    <w:rsid w:val="00F70DF6"/>
    <w:rsid w:val="00F70E8A"/>
    <w:rsid w:val="00F714D3"/>
    <w:rsid w:val="00F71A46"/>
    <w:rsid w:val="00F72F9A"/>
    <w:rsid w:val="00F731B8"/>
    <w:rsid w:val="00F7526D"/>
    <w:rsid w:val="00F75B4A"/>
    <w:rsid w:val="00F76304"/>
    <w:rsid w:val="00F77651"/>
    <w:rsid w:val="00F8382F"/>
    <w:rsid w:val="00F844E6"/>
    <w:rsid w:val="00F8674D"/>
    <w:rsid w:val="00F8760C"/>
    <w:rsid w:val="00F87AAB"/>
    <w:rsid w:val="00F915B9"/>
    <w:rsid w:val="00F9180E"/>
    <w:rsid w:val="00F91BCF"/>
    <w:rsid w:val="00F92180"/>
    <w:rsid w:val="00F9446A"/>
    <w:rsid w:val="00F94832"/>
    <w:rsid w:val="00F96C08"/>
    <w:rsid w:val="00F9719D"/>
    <w:rsid w:val="00F97456"/>
    <w:rsid w:val="00F977AD"/>
    <w:rsid w:val="00FA389A"/>
    <w:rsid w:val="00FA4434"/>
    <w:rsid w:val="00FA5C3C"/>
    <w:rsid w:val="00FA6B07"/>
    <w:rsid w:val="00FA6D69"/>
    <w:rsid w:val="00FB0349"/>
    <w:rsid w:val="00FB05EB"/>
    <w:rsid w:val="00FB0AEB"/>
    <w:rsid w:val="00FB1CCD"/>
    <w:rsid w:val="00FB1E78"/>
    <w:rsid w:val="00FB22F3"/>
    <w:rsid w:val="00FB5400"/>
    <w:rsid w:val="00FB5B7E"/>
    <w:rsid w:val="00FB6A50"/>
    <w:rsid w:val="00FB74E6"/>
    <w:rsid w:val="00FC166E"/>
    <w:rsid w:val="00FC19ED"/>
    <w:rsid w:val="00FC23A3"/>
    <w:rsid w:val="00FC328D"/>
    <w:rsid w:val="00FC54AF"/>
    <w:rsid w:val="00FC55BB"/>
    <w:rsid w:val="00FD16F0"/>
    <w:rsid w:val="00FD306B"/>
    <w:rsid w:val="00FD3797"/>
    <w:rsid w:val="00FD3903"/>
    <w:rsid w:val="00FD397A"/>
    <w:rsid w:val="00FD4DD5"/>
    <w:rsid w:val="00FD503E"/>
    <w:rsid w:val="00FD5A49"/>
    <w:rsid w:val="00FD6C69"/>
    <w:rsid w:val="00FD6E32"/>
    <w:rsid w:val="00FD6F0A"/>
    <w:rsid w:val="00FD730D"/>
    <w:rsid w:val="00FD7C58"/>
    <w:rsid w:val="00FE1629"/>
    <w:rsid w:val="00FE199B"/>
    <w:rsid w:val="00FE3110"/>
    <w:rsid w:val="00FE351F"/>
    <w:rsid w:val="00FE4306"/>
    <w:rsid w:val="00FE490C"/>
    <w:rsid w:val="00FE4A44"/>
    <w:rsid w:val="00FE4BC6"/>
    <w:rsid w:val="00FE4D8B"/>
    <w:rsid w:val="00FE4F7A"/>
    <w:rsid w:val="00FE4F98"/>
    <w:rsid w:val="00FE7755"/>
    <w:rsid w:val="00FF0F59"/>
    <w:rsid w:val="00FF2549"/>
    <w:rsid w:val="00FF5195"/>
    <w:rsid w:val="00FF556E"/>
    <w:rsid w:val="00FF5971"/>
    <w:rsid w:val="00FF5E1E"/>
    <w:rsid w:val="00FF61DF"/>
    <w:rsid w:val="00FF643B"/>
    <w:rsid w:val="00FF7304"/>
    <w:rsid w:val="00FF7366"/>
    <w:rsid w:val="00FF747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716088"/>
  <w15:docId w15:val="{C9B7C240-D43D-5946-AD4E-84548618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66C"/>
    <w:pPr>
      <w:spacing w:after="160"/>
    </w:pPr>
    <w:rPr>
      <w:rFonts w:ascii="Segoe UI" w:hAnsi="Segoe UI"/>
      <w:color w:val="5A5B5E"/>
      <w:sz w:val="20"/>
      <w:lang w:val="en-CA"/>
    </w:rPr>
  </w:style>
  <w:style w:type="paragraph" w:styleId="Heading1">
    <w:name w:val="heading 1"/>
    <w:basedOn w:val="Normal"/>
    <w:next w:val="Normal"/>
    <w:link w:val="Heading1Char"/>
    <w:qFormat/>
    <w:rsid w:val="009756CD"/>
    <w:pPr>
      <w:spacing w:after="120"/>
      <w:ind w:right="1872"/>
      <w:outlineLvl w:val="0"/>
    </w:pPr>
    <w:rPr>
      <w:rFonts w:ascii="Segoe UI Light" w:hAnsi="Segoe UI Light" w:cs="Segoe UI Light"/>
      <w:color w:val="5A5B5E" w:themeColor="text1"/>
      <w:sz w:val="44"/>
    </w:rPr>
  </w:style>
  <w:style w:type="paragraph" w:styleId="Heading2">
    <w:name w:val="heading 2"/>
    <w:basedOn w:val="Normal"/>
    <w:next w:val="Normal"/>
    <w:link w:val="Heading2Char"/>
    <w:uiPriority w:val="9"/>
    <w:qFormat/>
    <w:rsid w:val="00A9489F"/>
    <w:pPr>
      <w:keepNext/>
      <w:keepLines/>
      <w:spacing w:before="480"/>
      <w:ind w:right="-14"/>
      <w:outlineLvl w:val="1"/>
    </w:pPr>
    <w:rPr>
      <w:rFonts w:eastAsia="Times New Roman" w:cs="Segoe UI"/>
      <w:b/>
      <w:color w:val="D01A79"/>
      <w:szCs w:val="26"/>
    </w:rPr>
  </w:style>
  <w:style w:type="paragraph" w:styleId="Heading3">
    <w:name w:val="heading 3"/>
    <w:basedOn w:val="Normal"/>
    <w:next w:val="Normal"/>
    <w:link w:val="Heading3Char"/>
    <w:qFormat/>
    <w:rsid w:val="007F191D"/>
    <w:pPr>
      <w:keepNext/>
      <w:keepLines/>
      <w:spacing w:before="240" w:after="120"/>
      <w:outlineLvl w:val="2"/>
    </w:pPr>
    <w:rPr>
      <w:rFonts w:eastAsia="Times New Roman" w:cs="Segoe UI"/>
      <w:b/>
      <w:color w:val="5A5B5E" w:themeColor="text1"/>
      <w:szCs w:val="24"/>
    </w:rPr>
  </w:style>
  <w:style w:type="paragraph" w:styleId="Heading4">
    <w:name w:val="heading 4"/>
    <w:next w:val="Normal"/>
    <w:link w:val="Heading4Char"/>
    <w:qFormat/>
    <w:locked/>
    <w:rsid w:val="007F191D"/>
    <w:pPr>
      <w:keepNext/>
      <w:spacing w:before="120" w:after="120"/>
      <w:contextualSpacing/>
      <w:outlineLvl w:val="3"/>
    </w:pPr>
    <w:rPr>
      <w:rFonts w:ascii="Segoe UI" w:eastAsia="Times New Roman" w:hAnsi="Segoe UI"/>
      <w:i/>
      <w:color w:val="5A5B5E" w:themeColor="text1"/>
      <w:sz w:val="20"/>
      <w:szCs w:val="20"/>
      <w:lang w:val="en-CA"/>
    </w:rPr>
  </w:style>
  <w:style w:type="paragraph" w:styleId="Heading5">
    <w:name w:val="heading 5"/>
    <w:next w:val="Normal"/>
    <w:link w:val="Heading5Char"/>
    <w:qFormat/>
    <w:locked/>
    <w:rsid w:val="007F191D"/>
    <w:pPr>
      <w:spacing w:before="120" w:after="120"/>
      <w:contextualSpacing/>
      <w:outlineLvl w:val="4"/>
    </w:pPr>
    <w:rPr>
      <w:rFonts w:ascii="Segoe UI" w:eastAsia="Times New Roman" w:hAnsi="Segoe UI" w:cs="Arial"/>
      <w:kern w:val="18"/>
      <w:sz w:val="20"/>
      <w:u w:val="single"/>
      <w:lang w:val="en-CA"/>
    </w:rPr>
  </w:style>
  <w:style w:type="paragraph" w:styleId="Heading6">
    <w:name w:val="heading 6"/>
    <w:next w:val="Normal"/>
    <w:link w:val="Heading6Char"/>
    <w:qFormat/>
    <w:locked/>
    <w:rsid w:val="009756CD"/>
    <w:pPr>
      <w:outlineLvl w:val="5"/>
    </w:pPr>
    <w:rPr>
      <w:rFonts w:ascii="Segoe UI" w:hAnsi="Segoe UI"/>
      <w:color w:val="5A5B5E"/>
      <w:sz w:val="28"/>
      <w:szCs w:val="24"/>
      <w:lang w:val="en-CA"/>
    </w:rPr>
  </w:style>
  <w:style w:type="paragraph" w:styleId="Heading7">
    <w:name w:val="heading 7"/>
    <w:basedOn w:val="Heading1"/>
    <w:next w:val="Normal"/>
    <w:link w:val="Heading7Char"/>
    <w:qFormat/>
    <w:locked/>
    <w:rsid w:val="00B620DB"/>
    <w:pPr>
      <w:outlineLvl w:val="6"/>
    </w:pPr>
  </w:style>
  <w:style w:type="paragraph" w:styleId="Heading8">
    <w:name w:val="heading 8"/>
    <w:next w:val="Normal"/>
    <w:link w:val="Heading8Char"/>
    <w:locked/>
    <w:rsid w:val="007F191D"/>
    <w:pPr>
      <w:keepNext/>
      <w:spacing w:before="240" w:after="120"/>
      <w:contextualSpacing/>
      <w:outlineLvl w:val="7"/>
    </w:pPr>
    <w:rPr>
      <w:rFonts w:ascii="Segoe UI" w:eastAsia="Times New Roman" w:hAnsi="Segoe UI"/>
      <w:b/>
      <w:color w:val="5A5B5E" w:themeColor="text1"/>
      <w:kern w:val="18"/>
      <w:sz w:val="24"/>
      <w:szCs w:val="24"/>
      <w:lang w:val="en-CA"/>
    </w:rPr>
  </w:style>
  <w:style w:type="paragraph" w:styleId="Heading9">
    <w:name w:val="heading 9"/>
    <w:next w:val="Normal"/>
    <w:link w:val="Heading9Char"/>
    <w:locked/>
    <w:rsid w:val="007F191D"/>
    <w:pPr>
      <w:keepNext/>
      <w:spacing w:before="240" w:after="120"/>
      <w:contextualSpacing/>
      <w:outlineLvl w:val="8"/>
    </w:pPr>
    <w:rPr>
      <w:rFonts w:ascii="Segoe UI" w:eastAsia="Times New Roman" w:hAnsi="Segoe UI"/>
      <w:b/>
      <w:color w:val="5A5B5E" w:themeColor="text1"/>
      <w:kern w:val="1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66C"/>
    <w:rPr>
      <w:rFonts w:ascii="Segoe UI Light" w:hAnsi="Segoe UI Light" w:cs="Segoe UI Light"/>
      <w:color w:val="5A5B5E" w:themeColor="text1"/>
      <w:sz w:val="44"/>
      <w:lang w:val="en-CA"/>
    </w:rPr>
  </w:style>
  <w:style w:type="character" w:customStyle="1" w:styleId="Heading2Char">
    <w:name w:val="Heading 2 Char"/>
    <w:basedOn w:val="DefaultParagraphFont"/>
    <w:link w:val="Heading2"/>
    <w:uiPriority w:val="9"/>
    <w:locked/>
    <w:rsid w:val="0059666C"/>
    <w:rPr>
      <w:rFonts w:ascii="Segoe UI" w:eastAsia="Times New Roman" w:hAnsi="Segoe UI" w:cs="Segoe UI"/>
      <w:b/>
      <w:color w:val="D01A79"/>
      <w:sz w:val="20"/>
      <w:szCs w:val="26"/>
      <w:lang w:val="en-CA"/>
    </w:rPr>
  </w:style>
  <w:style w:type="character" w:customStyle="1" w:styleId="Heading3Char">
    <w:name w:val="Heading 3 Char"/>
    <w:basedOn w:val="DefaultParagraphFont"/>
    <w:link w:val="Heading3"/>
    <w:locked/>
    <w:rsid w:val="0059666C"/>
    <w:rPr>
      <w:rFonts w:ascii="Segoe UI" w:eastAsia="Times New Roman" w:hAnsi="Segoe UI" w:cs="Segoe UI"/>
      <w:b/>
      <w:color w:val="5A5B5E" w:themeColor="text1"/>
      <w:sz w:val="20"/>
      <w:szCs w:val="24"/>
      <w:lang w:val="en-CA"/>
    </w:rPr>
  </w:style>
  <w:style w:type="character" w:styleId="IntenseEmphasis">
    <w:name w:val="Intense Emphasis"/>
    <w:basedOn w:val="DefaultParagraphFont"/>
    <w:uiPriority w:val="21"/>
    <w:rsid w:val="007F191D"/>
    <w:rPr>
      <w:rFonts w:ascii="Segoe UI" w:hAnsi="Segoe UI"/>
      <w:b/>
      <w:i/>
      <w:iCs/>
      <w:color w:val="5A5B5E" w:themeColor="text1"/>
    </w:rPr>
  </w:style>
  <w:style w:type="paragraph" w:styleId="ListParagraph">
    <w:name w:val="List Paragraph"/>
    <w:aliases w:val="Normal bullets,Dot pt,Liste 1,F5 List Paragraph,List Paragraph Char Char Char,Indicator Text,Numbered Para 1,Bullet 1,Bullet Points,List Paragraph2,MAIN CONTENT,Normal numbered,List Paragraph1,Recommendation,List Paragraph11,L,CV text"/>
    <w:basedOn w:val="Normal"/>
    <w:link w:val="ListParagraphChar"/>
    <w:uiPriority w:val="34"/>
    <w:qFormat/>
    <w:rsid w:val="009756CD"/>
    <w:pPr>
      <w:numPr>
        <w:numId w:val="2"/>
      </w:numPr>
      <w:contextualSpacing/>
    </w:pPr>
  </w:style>
  <w:style w:type="paragraph" w:customStyle="1" w:styleId="Question-AutoNumber">
    <w:name w:val="Question - Auto Number"/>
    <w:basedOn w:val="Normal"/>
    <w:uiPriority w:val="99"/>
    <w:rsid w:val="007F191D"/>
    <w:pPr>
      <w:numPr>
        <w:numId w:val="1"/>
      </w:numPr>
      <w:spacing w:after="60"/>
      <w:ind w:left="720" w:hanging="720"/>
      <w:contextualSpacing/>
    </w:pPr>
    <w:rPr>
      <w:szCs w:val="20"/>
      <w:lang w:val="en-US" w:eastAsia="en-CA"/>
    </w:rPr>
  </w:style>
  <w:style w:type="paragraph" w:customStyle="1" w:styleId="Question-ManualNumber">
    <w:name w:val="Question - Manual Number"/>
    <w:basedOn w:val="Normal"/>
    <w:uiPriority w:val="99"/>
    <w:rsid w:val="007F191D"/>
    <w:pPr>
      <w:ind w:left="720" w:hanging="720"/>
      <w:contextualSpacing/>
    </w:pPr>
    <w:rPr>
      <w:szCs w:val="20"/>
      <w:lang w:val="en-US" w:eastAsia="en-CA"/>
    </w:rPr>
  </w:style>
  <w:style w:type="paragraph" w:customStyle="1" w:styleId="PNProgrammerNotes">
    <w:name w:val="PN Programmer Notes"/>
    <w:basedOn w:val="Normal"/>
    <w:uiPriority w:val="99"/>
    <w:rsid w:val="00834127"/>
    <w:pPr>
      <w:spacing w:after="0"/>
    </w:pPr>
    <w:rPr>
      <w:caps/>
      <w:color w:val="258ABB"/>
    </w:rPr>
  </w:style>
  <w:style w:type="paragraph" w:styleId="BalloonText">
    <w:name w:val="Balloon Text"/>
    <w:basedOn w:val="Normal"/>
    <w:link w:val="BalloonTextChar"/>
    <w:uiPriority w:val="99"/>
    <w:semiHidden/>
    <w:rsid w:val="00834127"/>
    <w:pPr>
      <w:spacing w:after="0"/>
    </w:pPr>
    <w:rPr>
      <w:rFonts w:cs="Segoe UI"/>
      <w:sz w:val="18"/>
      <w:szCs w:val="18"/>
    </w:rPr>
  </w:style>
  <w:style w:type="character" w:customStyle="1" w:styleId="BalloonTextChar">
    <w:name w:val="Balloon Text Char"/>
    <w:basedOn w:val="DefaultParagraphFont"/>
    <w:link w:val="BalloonText"/>
    <w:uiPriority w:val="99"/>
    <w:semiHidden/>
    <w:locked/>
    <w:rsid w:val="00834127"/>
    <w:rPr>
      <w:rFonts w:ascii="Segoe UI" w:hAnsi="Segoe UI" w:cs="Segoe UI"/>
      <w:color w:val="5A5B5E"/>
      <w:sz w:val="18"/>
      <w:szCs w:val="18"/>
    </w:rPr>
  </w:style>
  <w:style w:type="paragraph" w:styleId="Subtitle">
    <w:name w:val="Subtitle"/>
    <w:basedOn w:val="Normal"/>
    <w:next w:val="Normal"/>
    <w:link w:val="SubtitleChar"/>
    <w:uiPriority w:val="99"/>
    <w:rsid w:val="00075612"/>
    <w:pPr>
      <w:numPr>
        <w:ilvl w:val="1"/>
      </w:numPr>
    </w:pPr>
    <w:rPr>
      <w:rFonts w:eastAsia="Times New Roman"/>
      <w:color w:val="939497"/>
      <w:spacing w:val="15"/>
      <w:lang w:val="en-US"/>
    </w:rPr>
  </w:style>
  <w:style w:type="character" w:customStyle="1" w:styleId="SubtitleChar">
    <w:name w:val="Subtitle Char"/>
    <w:basedOn w:val="DefaultParagraphFont"/>
    <w:link w:val="Subtitle"/>
    <w:uiPriority w:val="99"/>
    <w:locked/>
    <w:rsid w:val="00075612"/>
    <w:rPr>
      <w:rFonts w:eastAsia="Times New Roman" w:cs="Times New Roman"/>
      <w:color w:val="939497"/>
      <w:spacing w:val="15"/>
      <w:lang w:val="en-US"/>
    </w:rPr>
  </w:style>
  <w:style w:type="paragraph" w:styleId="TOC1">
    <w:name w:val="toc 1"/>
    <w:basedOn w:val="Normal"/>
    <w:next w:val="Normal"/>
    <w:autoRedefine/>
    <w:uiPriority w:val="39"/>
    <w:rsid w:val="0077172A"/>
    <w:pPr>
      <w:tabs>
        <w:tab w:val="right" w:leader="dot" w:pos="9062"/>
      </w:tabs>
      <w:spacing w:before="360" w:after="120"/>
    </w:pPr>
    <w:rPr>
      <w:b/>
      <w:sz w:val="22"/>
    </w:rPr>
  </w:style>
  <w:style w:type="paragraph" w:styleId="TOC2">
    <w:name w:val="toc 2"/>
    <w:basedOn w:val="Normal"/>
    <w:next w:val="Normal"/>
    <w:autoRedefine/>
    <w:uiPriority w:val="39"/>
    <w:rsid w:val="006C13B6"/>
    <w:pPr>
      <w:tabs>
        <w:tab w:val="right" w:leader="dot" w:pos="9062"/>
      </w:tabs>
      <w:spacing w:before="120" w:after="0"/>
      <w:ind w:left="360" w:right="720" w:hanging="360"/>
    </w:pPr>
    <w:rPr>
      <w:noProof/>
    </w:rPr>
  </w:style>
  <w:style w:type="paragraph" w:customStyle="1" w:styleId="SectionDivider">
    <w:name w:val="Section Divider"/>
    <w:basedOn w:val="Normal"/>
    <w:uiPriority w:val="99"/>
    <w:qFormat/>
    <w:rsid w:val="00A30592"/>
    <w:pPr>
      <w:spacing w:before="4000" w:after="240"/>
    </w:pPr>
    <w:rPr>
      <w:rFonts w:ascii="Segoe UI Light" w:hAnsi="Segoe UI Light" w:cs="Calibri Light"/>
      <w:color w:val="267F9A"/>
      <w:sz w:val="56"/>
    </w:rPr>
  </w:style>
  <w:style w:type="paragraph" w:styleId="TOC3">
    <w:name w:val="toc 3"/>
    <w:basedOn w:val="Normal"/>
    <w:next w:val="Normal"/>
    <w:autoRedefine/>
    <w:uiPriority w:val="39"/>
    <w:rsid w:val="006C3738"/>
    <w:pPr>
      <w:tabs>
        <w:tab w:val="right" w:leader="dot" w:pos="9062"/>
      </w:tabs>
      <w:spacing w:after="0"/>
      <w:ind w:left="1152" w:right="720" w:hanging="432"/>
    </w:pPr>
    <w:rPr>
      <w:noProof/>
      <w:sz w:val="18"/>
    </w:rPr>
  </w:style>
  <w:style w:type="paragraph" w:styleId="TOC4">
    <w:name w:val="toc 4"/>
    <w:basedOn w:val="Normal"/>
    <w:next w:val="Normal"/>
    <w:autoRedefine/>
    <w:uiPriority w:val="39"/>
    <w:rsid w:val="00E03AE6"/>
    <w:pPr>
      <w:tabs>
        <w:tab w:val="right" w:leader="dot" w:pos="9062"/>
      </w:tabs>
      <w:spacing w:after="100"/>
      <w:ind w:left="900"/>
    </w:pPr>
    <w:rPr>
      <w:noProof/>
      <w:sz w:val="18"/>
    </w:rPr>
  </w:style>
  <w:style w:type="table" w:customStyle="1" w:styleId="TableGrid2">
    <w:name w:val="Table Grid2"/>
    <w:uiPriority w:val="59"/>
    <w:rsid w:val="00AB390A"/>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B390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46F0"/>
    <w:rPr>
      <w:rFonts w:cs="Times New Roman"/>
      <w:sz w:val="16"/>
      <w:szCs w:val="16"/>
    </w:rPr>
  </w:style>
  <w:style w:type="paragraph" w:styleId="CommentSubject">
    <w:name w:val="annotation subject"/>
    <w:basedOn w:val="Normal"/>
    <w:next w:val="Normal"/>
    <w:link w:val="CommentSubjectChar"/>
    <w:uiPriority w:val="99"/>
    <w:semiHidden/>
    <w:rsid w:val="007F191D"/>
    <w:rPr>
      <w:b/>
      <w:bCs/>
      <w:szCs w:val="20"/>
    </w:rPr>
  </w:style>
  <w:style w:type="character" w:customStyle="1" w:styleId="CommentSubjectChar">
    <w:name w:val="Comment Subject Char"/>
    <w:basedOn w:val="DefaultParagraphFont"/>
    <w:link w:val="CommentSubject"/>
    <w:uiPriority w:val="99"/>
    <w:semiHidden/>
    <w:locked/>
    <w:rsid w:val="007F191D"/>
    <w:rPr>
      <w:rFonts w:ascii="Segoe UI" w:hAnsi="Segoe UI" w:cs="Times New Roman"/>
      <w:b/>
      <w:bCs/>
      <w:color w:val="5A5B5E"/>
      <w:sz w:val="20"/>
      <w:szCs w:val="20"/>
      <w:lang w:val="en-US"/>
    </w:rPr>
  </w:style>
  <w:style w:type="character" w:customStyle="1" w:styleId="UnresolvedMention1">
    <w:name w:val="Unresolved Mention1"/>
    <w:basedOn w:val="DefaultParagraphFont"/>
    <w:uiPriority w:val="99"/>
    <w:semiHidden/>
    <w:rsid w:val="00E32F10"/>
    <w:rPr>
      <w:rFonts w:cs="Times New Roman"/>
      <w:color w:val="605E5C"/>
      <w:shd w:val="clear" w:color="auto" w:fill="E1DFDD"/>
    </w:rPr>
  </w:style>
  <w:style w:type="paragraph" w:customStyle="1" w:styleId="Callout">
    <w:name w:val="Callout"/>
    <w:basedOn w:val="Normal"/>
    <w:uiPriority w:val="99"/>
    <w:rsid w:val="00E32F10"/>
    <w:pPr>
      <w:pBdr>
        <w:left w:val="single" w:sz="4" w:space="4" w:color="auto"/>
      </w:pBdr>
      <w:ind w:left="720"/>
    </w:pPr>
    <w:rPr>
      <w:b/>
      <w:sz w:val="18"/>
    </w:rPr>
  </w:style>
  <w:style w:type="paragraph" w:styleId="Revision">
    <w:name w:val="Revision"/>
    <w:hidden/>
    <w:uiPriority w:val="99"/>
    <w:semiHidden/>
    <w:rsid w:val="00F96C08"/>
    <w:rPr>
      <w:rFonts w:ascii="Segoe UI" w:hAnsi="Segoe UI"/>
      <w:color w:val="5A5B5E"/>
      <w:sz w:val="20"/>
      <w:lang w:val="en-CA"/>
    </w:rPr>
  </w:style>
  <w:style w:type="table" w:customStyle="1" w:styleId="TableGrid1">
    <w:name w:val="Table Grid1"/>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59"/>
    <w:rsid w:val="00086FCB"/>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086FC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7B10B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E45C26"/>
    <w:pPr>
      <w:spacing w:after="0"/>
    </w:pPr>
    <w:rPr>
      <w:szCs w:val="20"/>
    </w:rPr>
  </w:style>
  <w:style w:type="character" w:customStyle="1" w:styleId="EndnoteTextChar">
    <w:name w:val="Endnote Text Char"/>
    <w:basedOn w:val="DefaultParagraphFont"/>
    <w:link w:val="EndnoteText"/>
    <w:uiPriority w:val="99"/>
    <w:semiHidden/>
    <w:locked/>
    <w:rsid w:val="00E45C26"/>
    <w:rPr>
      <w:rFonts w:ascii="Segoe UI" w:hAnsi="Segoe UI" w:cs="Times New Roman"/>
      <w:color w:val="5A5B5E"/>
      <w:sz w:val="20"/>
      <w:szCs w:val="20"/>
    </w:rPr>
  </w:style>
  <w:style w:type="character" w:styleId="EndnoteReference">
    <w:name w:val="endnote reference"/>
    <w:basedOn w:val="DefaultParagraphFont"/>
    <w:uiPriority w:val="99"/>
    <w:semiHidden/>
    <w:rsid w:val="00E45C26"/>
    <w:rPr>
      <w:rFonts w:cs="Times New Roman"/>
      <w:vertAlign w:val="superscript"/>
    </w:rPr>
  </w:style>
  <w:style w:type="paragraph" w:styleId="FootnoteText">
    <w:name w:val="footnote text"/>
    <w:basedOn w:val="Normal"/>
    <w:link w:val="FootnoteTextChar"/>
    <w:uiPriority w:val="99"/>
    <w:semiHidden/>
    <w:rsid w:val="00E45C26"/>
    <w:pPr>
      <w:spacing w:after="0"/>
    </w:pPr>
    <w:rPr>
      <w:szCs w:val="20"/>
    </w:rPr>
  </w:style>
  <w:style w:type="character" w:customStyle="1" w:styleId="FootnoteTextChar">
    <w:name w:val="Footnote Text Char"/>
    <w:basedOn w:val="DefaultParagraphFont"/>
    <w:link w:val="FootnoteText"/>
    <w:uiPriority w:val="99"/>
    <w:semiHidden/>
    <w:locked/>
    <w:rsid w:val="00E45C26"/>
    <w:rPr>
      <w:rFonts w:ascii="Segoe UI" w:hAnsi="Segoe UI" w:cs="Times New Roman"/>
      <w:color w:val="5A5B5E"/>
      <w:sz w:val="20"/>
      <w:szCs w:val="20"/>
    </w:rPr>
  </w:style>
  <w:style w:type="character" w:styleId="FootnoteReference">
    <w:name w:val="footnote reference"/>
    <w:basedOn w:val="DefaultParagraphFont"/>
    <w:uiPriority w:val="99"/>
    <w:semiHidden/>
    <w:rsid w:val="00E45C26"/>
    <w:rPr>
      <w:rFonts w:cs="Times New Roman"/>
      <w:vertAlign w:val="superscript"/>
    </w:rPr>
  </w:style>
  <w:style w:type="table" w:customStyle="1" w:styleId="TableGrid6">
    <w:name w:val="Table Grid6"/>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uiPriority w:val="99"/>
    <w:rsid w:val="006624B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6333A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6333A5"/>
    <w:rPr>
      <w:rFonts w:ascii="Consolas" w:hAnsi="Consolas" w:cs="Times New Roman"/>
      <w:color w:val="5A5B5E"/>
      <w:sz w:val="20"/>
      <w:szCs w:val="20"/>
    </w:rPr>
  </w:style>
  <w:style w:type="character" w:customStyle="1" w:styleId="UnresolvedMention2">
    <w:name w:val="Unresolved Mention2"/>
    <w:basedOn w:val="DefaultParagraphFont"/>
    <w:uiPriority w:val="99"/>
    <w:semiHidden/>
    <w:unhideWhenUsed/>
    <w:rsid w:val="00054FAC"/>
    <w:rPr>
      <w:color w:val="605E5C"/>
      <w:shd w:val="clear" w:color="auto" w:fill="E1DFDD"/>
    </w:rPr>
  </w:style>
  <w:style w:type="table" w:customStyle="1" w:styleId="TableGrid22">
    <w:name w:val="Table Grid22"/>
    <w:basedOn w:val="TableNormal"/>
    <w:next w:val="TableGrid"/>
    <w:uiPriority w:val="59"/>
    <w:rsid w:val="00065635"/>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59666C"/>
    <w:rPr>
      <w:rFonts w:ascii="Segoe UI" w:eastAsia="Times New Roman" w:hAnsi="Segoe UI"/>
      <w:i/>
      <w:color w:val="5A5B5E" w:themeColor="text1"/>
      <w:sz w:val="20"/>
      <w:szCs w:val="20"/>
      <w:lang w:val="en-CA"/>
    </w:rPr>
  </w:style>
  <w:style w:type="character" w:customStyle="1" w:styleId="Heading5Char">
    <w:name w:val="Heading 5 Char"/>
    <w:basedOn w:val="DefaultParagraphFont"/>
    <w:link w:val="Heading5"/>
    <w:rsid w:val="0059666C"/>
    <w:rPr>
      <w:rFonts w:ascii="Segoe UI" w:eastAsia="Times New Roman" w:hAnsi="Segoe UI" w:cs="Arial"/>
      <w:kern w:val="18"/>
      <w:sz w:val="20"/>
      <w:u w:val="single"/>
      <w:lang w:val="en-CA"/>
    </w:rPr>
  </w:style>
  <w:style w:type="character" w:customStyle="1" w:styleId="Heading6Char">
    <w:name w:val="Heading 6 Char"/>
    <w:basedOn w:val="DefaultParagraphFont"/>
    <w:link w:val="Heading6"/>
    <w:rsid w:val="0059666C"/>
    <w:rPr>
      <w:rFonts w:ascii="Segoe UI" w:hAnsi="Segoe UI"/>
      <w:color w:val="5A5B5E"/>
      <w:sz w:val="28"/>
      <w:szCs w:val="24"/>
      <w:lang w:val="en-CA"/>
    </w:rPr>
  </w:style>
  <w:style w:type="character" w:customStyle="1" w:styleId="Heading7Char">
    <w:name w:val="Heading 7 Char"/>
    <w:basedOn w:val="DefaultParagraphFont"/>
    <w:link w:val="Heading7"/>
    <w:rsid w:val="00B620DB"/>
    <w:rPr>
      <w:rFonts w:ascii="Segoe UI Light" w:hAnsi="Segoe UI Light" w:cs="Segoe UI Light"/>
      <w:color w:val="5A5B5E" w:themeColor="text1"/>
      <w:sz w:val="44"/>
      <w:lang w:val="en-CA"/>
    </w:rPr>
  </w:style>
  <w:style w:type="character" w:customStyle="1" w:styleId="Heading8Char">
    <w:name w:val="Heading 8 Char"/>
    <w:basedOn w:val="DefaultParagraphFont"/>
    <w:link w:val="Heading8"/>
    <w:rsid w:val="007F191D"/>
    <w:rPr>
      <w:rFonts w:ascii="Segoe UI" w:eastAsia="Times New Roman" w:hAnsi="Segoe UI"/>
      <w:b/>
      <w:color w:val="5A5B5E" w:themeColor="text1"/>
      <w:kern w:val="18"/>
      <w:sz w:val="24"/>
      <w:szCs w:val="24"/>
      <w:lang w:val="en-CA"/>
    </w:rPr>
  </w:style>
  <w:style w:type="character" w:customStyle="1" w:styleId="Heading9Char">
    <w:name w:val="Heading 9 Char"/>
    <w:basedOn w:val="DefaultParagraphFont"/>
    <w:link w:val="Heading9"/>
    <w:rsid w:val="007F191D"/>
    <w:rPr>
      <w:rFonts w:ascii="Segoe UI" w:eastAsia="Times New Roman" w:hAnsi="Segoe UI"/>
      <w:b/>
      <w:color w:val="5A5B5E" w:themeColor="text1"/>
      <w:kern w:val="18"/>
      <w:sz w:val="28"/>
      <w:szCs w:val="28"/>
      <w:lang w:val="en-CA"/>
    </w:rPr>
  </w:style>
  <w:style w:type="table" w:customStyle="1" w:styleId="TableGrid8">
    <w:name w:val="Table Grid8"/>
    <w:basedOn w:val="TableNormal"/>
    <w:next w:val="TableGrid"/>
    <w:uiPriority w:val="39"/>
    <w:rsid w:val="00B60E5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B60E5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4186B"/>
  </w:style>
  <w:style w:type="character" w:customStyle="1" w:styleId="BodyTextChar1">
    <w:name w:val="Body Text Char1"/>
    <w:basedOn w:val="DefaultParagraphFont"/>
    <w:uiPriority w:val="99"/>
    <w:semiHidden/>
    <w:rsid w:val="0084186B"/>
    <w:rPr>
      <w:rFonts w:ascii="Times New Roman" w:eastAsia="Times New Roman" w:hAnsi="Times New Roman" w:cs="Times New Roman"/>
      <w:sz w:val="20"/>
      <w:szCs w:val="20"/>
      <w:lang w:val="en-CA"/>
    </w:rPr>
  </w:style>
  <w:style w:type="character" w:customStyle="1" w:styleId="BodyTextChar2">
    <w:name w:val="Body Text Char2"/>
    <w:basedOn w:val="DefaultParagraphFont"/>
    <w:uiPriority w:val="99"/>
    <w:semiHidden/>
    <w:rsid w:val="0084186B"/>
    <w:rPr>
      <w:rFonts w:ascii="Segoe UI" w:hAnsi="Segoe UI"/>
      <w:color w:val="5A5B5E"/>
      <w:sz w:val="20"/>
      <w:lang w:val="en-CA"/>
    </w:rPr>
  </w:style>
  <w:style w:type="character" w:styleId="FollowedHyperlink">
    <w:name w:val="FollowedHyperlink"/>
    <w:basedOn w:val="DefaultParagraphFont"/>
    <w:uiPriority w:val="99"/>
    <w:semiHidden/>
    <w:unhideWhenUsed/>
    <w:rsid w:val="004B05CA"/>
    <w:rPr>
      <w:color w:val="948EBD" w:themeColor="followedHyperlink"/>
      <w:u w:val="single"/>
    </w:rPr>
  </w:style>
  <w:style w:type="table" w:customStyle="1" w:styleId="TableGrid23">
    <w:name w:val="Table Grid23"/>
    <w:basedOn w:val="TableNormal"/>
    <w:next w:val="TableGrid"/>
    <w:uiPriority w:val="59"/>
    <w:rsid w:val="00D56C74"/>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71AC6"/>
  </w:style>
  <w:style w:type="table" w:customStyle="1" w:styleId="TableGrid10">
    <w:name w:val="Table Grid10"/>
    <w:basedOn w:val="TableNormal"/>
    <w:next w:val="TableGrid"/>
    <w:uiPriority w:val="39"/>
    <w:rsid w:val="0057612C"/>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3C103C"/>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54576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54576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D84C3A"/>
  </w:style>
  <w:style w:type="character" w:styleId="SubtleEmphasis">
    <w:name w:val="Subtle Emphasis"/>
    <w:basedOn w:val="DefaultParagraphFont"/>
    <w:uiPriority w:val="19"/>
    <w:rsid w:val="00DB0A64"/>
    <w:rPr>
      <w:i/>
      <w:iCs/>
      <w:color w:val="828387" w:themeColor="text1" w:themeTint="BF"/>
    </w:rPr>
  </w:style>
  <w:style w:type="table" w:customStyle="1" w:styleId="TableGrid14">
    <w:name w:val="Table Grid14"/>
    <w:basedOn w:val="TableNormal"/>
    <w:next w:val="TableGrid"/>
    <w:uiPriority w:val="39"/>
    <w:rsid w:val="00834C81"/>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62548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0734B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DA5AD3"/>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905C87"/>
  </w:style>
  <w:style w:type="character" w:customStyle="1" w:styleId="BodyTextChar">
    <w:name w:val="Body Text Char"/>
    <w:basedOn w:val="DefaultParagraphFont"/>
    <w:link w:val="BodyText"/>
    <w:locked/>
    <w:rsid w:val="00905C87"/>
    <w:rPr>
      <w:rFonts w:ascii="Arial" w:hAnsi="Arial" w:cs="Arial"/>
      <w:i/>
      <w:iCs/>
      <w:color w:val="333333"/>
    </w:rPr>
  </w:style>
  <w:style w:type="paragraph" w:styleId="BodyText">
    <w:name w:val="Body Text"/>
    <w:basedOn w:val="Normal"/>
    <w:link w:val="BodyTextChar"/>
    <w:semiHidden/>
    <w:unhideWhenUsed/>
    <w:rsid w:val="00905C87"/>
    <w:pPr>
      <w:spacing w:after="120"/>
    </w:pPr>
    <w:rPr>
      <w:rFonts w:ascii="Arial" w:hAnsi="Arial" w:cs="Arial"/>
      <w:i/>
      <w:iCs/>
      <w:color w:val="333333"/>
      <w:sz w:val="22"/>
      <w:lang w:val="en-US"/>
    </w:rPr>
  </w:style>
  <w:style w:type="character" w:customStyle="1" w:styleId="BodyTextChar3">
    <w:name w:val="Body Text Char3"/>
    <w:basedOn w:val="DefaultParagraphFont"/>
    <w:semiHidden/>
    <w:rsid w:val="00905C87"/>
    <w:rPr>
      <w:rFonts w:ascii="Segoe UI" w:hAnsi="Segoe UI"/>
      <w:color w:val="5A5B5E"/>
      <w:sz w:val="20"/>
      <w:lang w:val="en-CA"/>
    </w:rPr>
  </w:style>
  <w:style w:type="table" w:customStyle="1" w:styleId="TableGrid18">
    <w:name w:val="Table Grid18"/>
    <w:basedOn w:val="TableNormal"/>
    <w:next w:val="TableGrid"/>
    <w:uiPriority w:val="39"/>
    <w:rsid w:val="00492D05"/>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492D05"/>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F3239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F3239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12477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12477E"/>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12477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2">
    <w:name w:val="Table Grid212"/>
    <w:basedOn w:val="TableNormal"/>
    <w:next w:val="TableGrid"/>
    <w:uiPriority w:val="59"/>
    <w:rsid w:val="0012477E"/>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B47FBC"/>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E6257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3">
    <w:name w:val="Table Grid213"/>
    <w:basedOn w:val="TableNormal"/>
    <w:next w:val="TableGrid"/>
    <w:uiPriority w:val="59"/>
    <w:rsid w:val="00E62577"/>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E6257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4">
    <w:name w:val="Table Grid214"/>
    <w:basedOn w:val="TableNormal"/>
    <w:next w:val="TableGrid"/>
    <w:uiPriority w:val="59"/>
    <w:rsid w:val="00E62577"/>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locked/>
    <w:rsid w:val="000574CD"/>
    <w:rPr>
      <w:i/>
      <w:iCs/>
    </w:rPr>
  </w:style>
  <w:style w:type="table" w:customStyle="1" w:styleId="TableGrid30">
    <w:name w:val="Table Grid30"/>
    <w:basedOn w:val="TableNormal"/>
    <w:next w:val="TableGrid"/>
    <w:uiPriority w:val="39"/>
    <w:rsid w:val="00D26AC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5">
    <w:name w:val="Table Grid215"/>
    <w:basedOn w:val="TableNormal"/>
    <w:next w:val="TableGrid"/>
    <w:uiPriority w:val="59"/>
    <w:rsid w:val="00D26AC8"/>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0F7FD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6">
    <w:name w:val="Table Grid216"/>
    <w:basedOn w:val="TableNormal"/>
    <w:next w:val="TableGrid"/>
    <w:uiPriority w:val="59"/>
    <w:rsid w:val="000F7FD6"/>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39"/>
    <w:rsid w:val="005F265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39"/>
    <w:rsid w:val="005F26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39"/>
    <w:rsid w:val="005F265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5F2656"/>
  </w:style>
  <w:style w:type="table" w:customStyle="1" w:styleId="TableGrid210">
    <w:name w:val="Table Grid210"/>
    <w:basedOn w:val="TableNormal"/>
    <w:next w:val="TableGrid"/>
    <w:uiPriority w:val="59"/>
    <w:rsid w:val="00B3065B"/>
    <w:rPr>
      <w:rFonts w:ascii="Times New Roman" w:eastAsia="Times New Roman" w:hAnsi="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39"/>
    <w:rsid w:val="007708F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770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next w:val="TableGrid"/>
    <w:uiPriority w:val="39"/>
    <w:rsid w:val="007708F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2B5D50"/>
    <w:rPr>
      <w:rFonts w:cs="Times New Roman"/>
      <w:color w:val="524A84"/>
      <w:u w:val="single"/>
    </w:rPr>
  </w:style>
  <w:style w:type="character" w:customStyle="1" w:styleId="ListParagraphChar">
    <w:name w:val="List Paragraph Char"/>
    <w:aliases w:val="Normal bullets Char,Dot pt Char,Liste 1 Char,F5 List Paragraph Char,List Paragraph Char Char Char Char,Indicator Text Char,Numbered Para 1 Char,Bullet 1 Char,Bullet Points Char,List Paragraph2 Char,MAIN CONTENT Char,L Char"/>
    <w:link w:val="ListParagraph"/>
    <w:uiPriority w:val="34"/>
    <w:locked/>
    <w:rsid w:val="002B5D50"/>
    <w:rPr>
      <w:rFonts w:ascii="Segoe UI" w:hAnsi="Segoe UI"/>
      <w:color w:val="5A5B5E"/>
      <w:sz w:val="20"/>
      <w:lang w:val="en-CA"/>
    </w:rPr>
  </w:style>
  <w:style w:type="paragraph" w:styleId="Header">
    <w:name w:val="header"/>
    <w:basedOn w:val="Normal"/>
    <w:link w:val="HeaderChar"/>
    <w:locked/>
    <w:rsid w:val="002B5D50"/>
    <w:pPr>
      <w:tabs>
        <w:tab w:val="center" w:pos="4680"/>
        <w:tab w:val="right" w:pos="9360"/>
      </w:tabs>
      <w:spacing w:after="0"/>
    </w:pPr>
  </w:style>
  <w:style w:type="character" w:customStyle="1" w:styleId="HeaderChar">
    <w:name w:val="Header Char"/>
    <w:basedOn w:val="DefaultParagraphFont"/>
    <w:link w:val="Header"/>
    <w:rsid w:val="002B5D50"/>
    <w:rPr>
      <w:rFonts w:ascii="Segoe UI" w:hAnsi="Segoe UI"/>
      <w:color w:val="5A5B5E"/>
      <w:sz w:val="20"/>
      <w:lang w:val="en-CA"/>
    </w:rPr>
  </w:style>
  <w:style w:type="paragraph" w:styleId="Footer">
    <w:name w:val="footer"/>
    <w:basedOn w:val="Normal"/>
    <w:link w:val="FooterChar"/>
    <w:uiPriority w:val="99"/>
    <w:unhideWhenUsed/>
    <w:rsid w:val="002B5D50"/>
    <w:pPr>
      <w:tabs>
        <w:tab w:val="center" w:pos="4680"/>
        <w:tab w:val="right" w:pos="9360"/>
      </w:tabs>
      <w:spacing w:after="0"/>
    </w:pPr>
  </w:style>
  <w:style w:type="character" w:customStyle="1" w:styleId="FooterChar">
    <w:name w:val="Footer Char"/>
    <w:basedOn w:val="DefaultParagraphFont"/>
    <w:link w:val="Footer"/>
    <w:uiPriority w:val="99"/>
    <w:rsid w:val="002B5D50"/>
    <w:rPr>
      <w:rFonts w:ascii="Segoe UI" w:hAnsi="Segoe UI"/>
      <w:color w:val="5A5B5E"/>
      <w:sz w:val="20"/>
      <w:lang w:val="en-CA"/>
    </w:rPr>
  </w:style>
  <w:style w:type="character" w:styleId="Strong">
    <w:name w:val="Strong"/>
    <w:basedOn w:val="DefaultParagraphFont"/>
    <w:uiPriority w:val="22"/>
    <w:locked/>
    <w:rsid w:val="00CA41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065138">
      <w:bodyDiv w:val="1"/>
      <w:marLeft w:val="0"/>
      <w:marRight w:val="0"/>
      <w:marTop w:val="0"/>
      <w:marBottom w:val="0"/>
      <w:divBdr>
        <w:top w:val="none" w:sz="0" w:space="0" w:color="auto"/>
        <w:left w:val="none" w:sz="0" w:space="0" w:color="auto"/>
        <w:bottom w:val="none" w:sz="0" w:space="0" w:color="auto"/>
        <w:right w:val="none" w:sz="0" w:space="0" w:color="auto"/>
      </w:divBdr>
    </w:div>
    <w:div w:id="539827251">
      <w:bodyDiv w:val="1"/>
      <w:marLeft w:val="0"/>
      <w:marRight w:val="0"/>
      <w:marTop w:val="0"/>
      <w:marBottom w:val="0"/>
      <w:divBdr>
        <w:top w:val="none" w:sz="0" w:space="0" w:color="auto"/>
        <w:left w:val="none" w:sz="0" w:space="0" w:color="auto"/>
        <w:bottom w:val="none" w:sz="0" w:space="0" w:color="auto"/>
        <w:right w:val="none" w:sz="0" w:space="0" w:color="auto"/>
      </w:divBdr>
    </w:div>
    <w:div w:id="570507611">
      <w:bodyDiv w:val="1"/>
      <w:marLeft w:val="0"/>
      <w:marRight w:val="0"/>
      <w:marTop w:val="0"/>
      <w:marBottom w:val="0"/>
      <w:divBdr>
        <w:top w:val="none" w:sz="0" w:space="0" w:color="auto"/>
        <w:left w:val="none" w:sz="0" w:space="0" w:color="auto"/>
        <w:bottom w:val="none" w:sz="0" w:space="0" w:color="auto"/>
        <w:right w:val="none" w:sz="0" w:space="0" w:color="auto"/>
      </w:divBdr>
    </w:div>
    <w:div w:id="608779668">
      <w:bodyDiv w:val="1"/>
      <w:marLeft w:val="0"/>
      <w:marRight w:val="0"/>
      <w:marTop w:val="0"/>
      <w:marBottom w:val="0"/>
      <w:divBdr>
        <w:top w:val="none" w:sz="0" w:space="0" w:color="auto"/>
        <w:left w:val="none" w:sz="0" w:space="0" w:color="auto"/>
        <w:bottom w:val="none" w:sz="0" w:space="0" w:color="auto"/>
        <w:right w:val="none" w:sz="0" w:space="0" w:color="auto"/>
      </w:divBdr>
    </w:div>
    <w:div w:id="784275246">
      <w:bodyDiv w:val="1"/>
      <w:marLeft w:val="0"/>
      <w:marRight w:val="0"/>
      <w:marTop w:val="0"/>
      <w:marBottom w:val="0"/>
      <w:divBdr>
        <w:top w:val="none" w:sz="0" w:space="0" w:color="auto"/>
        <w:left w:val="none" w:sz="0" w:space="0" w:color="auto"/>
        <w:bottom w:val="none" w:sz="0" w:space="0" w:color="auto"/>
        <w:right w:val="none" w:sz="0" w:space="0" w:color="auto"/>
      </w:divBdr>
    </w:div>
    <w:div w:id="951744800">
      <w:marLeft w:val="0"/>
      <w:marRight w:val="0"/>
      <w:marTop w:val="0"/>
      <w:marBottom w:val="0"/>
      <w:divBdr>
        <w:top w:val="none" w:sz="0" w:space="0" w:color="auto"/>
        <w:left w:val="none" w:sz="0" w:space="0" w:color="auto"/>
        <w:bottom w:val="none" w:sz="0" w:space="0" w:color="auto"/>
        <w:right w:val="none" w:sz="0" w:space="0" w:color="auto"/>
      </w:divBdr>
    </w:div>
    <w:div w:id="951744801">
      <w:marLeft w:val="0"/>
      <w:marRight w:val="0"/>
      <w:marTop w:val="0"/>
      <w:marBottom w:val="0"/>
      <w:divBdr>
        <w:top w:val="none" w:sz="0" w:space="0" w:color="auto"/>
        <w:left w:val="none" w:sz="0" w:space="0" w:color="auto"/>
        <w:bottom w:val="none" w:sz="0" w:space="0" w:color="auto"/>
        <w:right w:val="none" w:sz="0" w:space="0" w:color="auto"/>
      </w:divBdr>
    </w:div>
    <w:div w:id="951744802">
      <w:marLeft w:val="0"/>
      <w:marRight w:val="0"/>
      <w:marTop w:val="0"/>
      <w:marBottom w:val="0"/>
      <w:divBdr>
        <w:top w:val="none" w:sz="0" w:space="0" w:color="auto"/>
        <w:left w:val="none" w:sz="0" w:space="0" w:color="auto"/>
        <w:bottom w:val="none" w:sz="0" w:space="0" w:color="auto"/>
        <w:right w:val="none" w:sz="0" w:space="0" w:color="auto"/>
      </w:divBdr>
    </w:div>
    <w:div w:id="951744803">
      <w:marLeft w:val="0"/>
      <w:marRight w:val="0"/>
      <w:marTop w:val="0"/>
      <w:marBottom w:val="0"/>
      <w:divBdr>
        <w:top w:val="none" w:sz="0" w:space="0" w:color="auto"/>
        <w:left w:val="none" w:sz="0" w:space="0" w:color="auto"/>
        <w:bottom w:val="none" w:sz="0" w:space="0" w:color="auto"/>
        <w:right w:val="none" w:sz="0" w:space="0" w:color="auto"/>
      </w:divBdr>
    </w:div>
    <w:div w:id="951744804">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951744806">
      <w:marLeft w:val="0"/>
      <w:marRight w:val="0"/>
      <w:marTop w:val="0"/>
      <w:marBottom w:val="0"/>
      <w:divBdr>
        <w:top w:val="none" w:sz="0" w:space="0" w:color="auto"/>
        <w:left w:val="none" w:sz="0" w:space="0" w:color="auto"/>
        <w:bottom w:val="none" w:sz="0" w:space="0" w:color="auto"/>
        <w:right w:val="none" w:sz="0" w:space="0" w:color="auto"/>
      </w:divBdr>
    </w:div>
    <w:div w:id="951744807">
      <w:marLeft w:val="0"/>
      <w:marRight w:val="0"/>
      <w:marTop w:val="0"/>
      <w:marBottom w:val="0"/>
      <w:divBdr>
        <w:top w:val="none" w:sz="0" w:space="0" w:color="auto"/>
        <w:left w:val="none" w:sz="0" w:space="0" w:color="auto"/>
        <w:bottom w:val="none" w:sz="0" w:space="0" w:color="auto"/>
        <w:right w:val="none" w:sz="0" w:space="0" w:color="auto"/>
      </w:divBdr>
    </w:div>
    <w:div w:id="951744808">
      <w:marLeft w:val="0"/>
      <w:marRight w:val="0"/>
      <w:marTop w:val="0"/>
      <w:marBottom w:val="0"/>
      <w:divBdr>
        <w:top w:val="none" w:sz="0" w:space="0" w:color="auto"/>
        <w:left w:val="none" w:sz="0" w:space="0" w:color="auto"/>
        <w:bottom w:val="none" w:sz="0" w:space="0" w:color="auto"/>
        <w:right w:val="none" w:sz="0" w:space="0" w:color="auto"/>
      </w:divBdr>
    </w:div>
    <w:div w:id="951744809">
      <w:marLeft w:val="0"/>
      <w:marRight w:val="0"/>
      <w:marTop w:val="0"/>
      <w:marBottom w:val="0"/>
      <w:divBdr>
        <w:top w:val="none" w:sz="0" w:space="0" w:color="auto"/>
        <w:left w:val="none" w:sz="0" w:space="0" w:color="auto"/>
        <w:bottom w:val="none" w:sz="0" w:space="0" w:color="auto"/>
        <w:right w:val="none" w:sz="0" w:space="0" w:color="auto"/>
      </w:divBdr>
    </w:div>
    <w:div w:id="951744810">
      <w:marLeft w:val="0"/>
      <w:marRight w:val="0"/>
      <w:marTop w:val="0"/>
      <w:marBottom w:val="0"/>
      <w:divBdr>
        <w:top w:val="none" w:sz="0" w:space="0" w:color="auto"/>
        <w:left w:val="none" w:sz="0" w:space="0" w:color="auto"/>
        <w:bottom w:val="none" w:sz="0" w:space="0" w:color="auto"/>
        <w:right w:val="none" w:sz="0" w:space="0" w:color="auto"/>
      </w:divBdr>
    </w:div>
    <w:div w:id="951744812">
      <w:marLeft w:val="0"/>
      <w:marRight w:val="0"/>
      <w:marTop w:val="0"/>
      <w:marBottom w:val="0"/>
      <w:divBdr>
        <w:top w:val="none" w:sz="0" w:space="0" w:color="auto"/>
        <w:left w:val="none" w:sz="0" w:space="0" w:color="auto"/>
        <w:bottom w:val="none" w:sz="0" w:space="0" w:color="auto"/>
        <w:right w:val="none" w:sz="0" w:space="0" w:color="auto"/>
      </w:divBdr>
    </w:div>
    <w:div w:id="951744813">
      <w:marLeft w:val="0"/>
      <w:marRight w:val="0"/>
      <w:marTop w:val="0"/>
      <w:marBottom w:val="0"/>
      <w:divBdr>
        <w:top w:val="none" w:sz="0" w:space="0" w:color="auto"/>
        <w:left w:val="none" w:sz="0" w:space="0" w:color="auto"/>
        <w:bottom w:val="none" w:sz="0" w:space="0" w:color="auto"/>
        <w:right w:val="none" w:sz="0" w:space="0" w:color="auto"/>
      </w:divBdr>
      <w:divsChild>
        <w:div w:id="951744822">
          <w:marLeft w:val="720"/>
          <w:marRight w:val="720"/>
          <w:marTop w:val="100"/>
          <w:marBottom w:val="100"/>
          <w:divBdr>
            <w:top w:val="none" w:sz="0" w:space="0" w:color="auto"/>
            <w:left w:val="none" w:sz="0" w:space="0" w:color="auto"/>
            <w:bottom w:val="none" w:sz="0" w:space="0" w:color="auto"/>
            <w:right w:val="none" w:sz="0" w:space="0" w:color="auto"/>
          </w:divBdr>
          <w:divsChild>
            <w:div w:id="951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4814">
      <w:marLeft w:val="0"/>
      <w:marRight w:val="0"/>
      <w:marTop w:val="0"/>
      <w:marBottom w:val="0"/>
      <w:divBdr>
        <w:top w:val="none" w:sz="0" w:space="0" w:color="auto"/>
        <w:left w:val="none" w:sz="0" w:space="0" w:color="auto"/>
        <w:bottom w:val="none" w:sz="0" w:space="0" w:color="auto"/>
        <w:right w:val="none" w:sz="0" w:space="0" w:color="auto"/>
      </w:divBdr>
    </w:div>
    <w:div w:id="951744815">
      <w:marLeft w:val="0"/>
      <w:marRight w:val="0"/>
      <w:marTop w:val="0"/>
      <w:marBottom w:val="0"/>
      <w:divBdr>
        <w:top w:val="none" w:sz="0" w:space="0" w:color="auto"/>
        <w:left w:val="none" w:sz="0" w:space="0" w:color="auto"/>
        <w:bottom w:val="none" w:sz="0" w:space="0" w:color="auto"/>
        <w:right w:val="none" w:sz="0" w:space="0" w:color="auto"/>
      </w:divBdr>
    </w:div>
    <w:div w:id="951744816">
      <w:marLeft w:val="0"/>
      <w:marRight w:val="0"/>
      <w:marTop w:val="0"/>
      <w:marBottom w:val="0"/>
      <w:divBdr>
        <w:top w:val="none" w:sz="0" w:space="0" w:color="auto"/>
        <w:left w:val="none" w:sz="0" w:space="0" w:color="auto"/>
        <w:bottom w:val="none" w:sz="0" w:space="0" w:color="auto"/>
        <w:right w:val="none" w:sz="0" w:space="0" w:color="auto"/>
      </w:divBdr>
    </w:div>
    <w:div w:id="951744817">
      <w:marLeft w:val="0"/>
      <w:marRight w:val="0"/>
      <w:marTop w:val="0"/>
      <w:marBottom w:val="0"/>
      <w:divBdr>
        <w:top w:val="none" w:sz="0" w:space="0" w:color="auto"/>
        <w:left w:val="none" w:sz="0" w:space="0" w:color="auto"/>
        <w:bottom w:val="none" w:sz="0" w:space="0" w:color="auto"/>
        <w:right w:val="none" w:sz="0" w:space="0" w:color="auto"/>
      </w:divBdr>
    </w:div>
    <w:div w:id="951744818">
      <w:marLeft w:val="0"/>
      <w:marRight w:val="0"/>
      <w:marTop w:val="0"/>
      <w:marBottom w:val="0"/>
      <w:divBdr>
        <w:top w:val="none" w:sz="0" w:space="0" w:color="auto"/>
        <w:left w:val="none" w:sz="0" w:space="0" w:color="auto"/>
        <w:bottom w:val="none" w:sz="0" w:space="0" w:color="auto"/>
        <w:right w:val="none" w:sz="0" w:space="0" w:color="auto"/>
      </w:divBdr>
    </w:div>
    <w:div w:id="951744819">
      <w:marLeft w:val="0"/>
      <w:marRight w:val="0"/>
      <w:marTop w:val="0"/>
      <w:marBottom w:val="0"/>
      <w:divBdr>
        <w:top w:val="none" w:sz="0" w:space="0" w:color="auto"/>
        <w:left w:val="none" w:sz="0" w:space="0" w:color="auto"/>
        <w:bottom w:val="none" w:sz="0" w:space="0" w:color="auto"/>
        <w:right w:val="none" w:sz="0" w:space="0" w:color="auto"/>
      </w:divBdr>
    </w:div>
    <w:div w:id="951744820">
      <w:marLeft w:val="0"/>
      <w:marRight w:val="0"/>
      <w:marTop w:val="0"/>
      <w:marBottom w:val="0"/>
      <w:divBdr>
        <w:top w:val="none" w:sz="0" w:space="0" w:color="auto"/>
        <w:left w:val="none" w:sz="0" w:space="0" w:color="auto"/>
        <w:bottom w:val="none" w:sz="0" w:space="0" w:color="auto"/>
        <w:right w:val="none" w:sz="0" w:space="0" w:color="auto"/>
      </w:divBdr>
    </w:div>
    <w:div w:id="951744821">
      <w:marLeft w:val="0"/>
      <w:marRight w:val="0"/>
      <w:marTop w:val="0"/>
      <w:marBottom w:val="0"/>
      <w:divBdr>
        <w:top w:val="none" w:sz="0" w:space="0" w:color="auto"/>
        <w:left w:val="none" w:sz="0" w:space="0" w:color="auto"/>
        <w:bottom w:val="none" w:sz="0" w:space="0" w:color="auto"/>
        <w:right w:val="none" w:sz="0" w:space="0" w:color="auto"/>
      </w:divBdr>
    </w:div>
    <w:div w:id="951744823">
      <w:marLeft w:val="0"/>
      <w:marRight w:val="0"/>
      <w:marTop w:val="0"/>
      <w:marBottom w:val="0"/>
      <w:divBdr>
        <w:top w:val="none" w:sz="0" w:space="0" w:color="auto"/>
        <w:left w:val="none" w:sz="0" w:space="0" w:color="auto"/>
        <w:bottom w:val="none" w:sz="0" w:space="0" w:color="auto"/>
        <w:right w:val="none" w:sz="0" w:space="0" w:color="auto"/>
      </w:divBdr>
    </w:div>
    <w:div w:id="951744824">
      <w:marLeft w:val="0"/>
      <w:marRight w:val="0"/>
      <w:marTop w:val="0"/>
      <w:marBottom w:val="0"/>
      <w:divBdr>
        <w:top w:val="none" w:sz="0" w:space="0" w:color="auto"/>
        <w:left w:val="none" w:sz="0" w:space="0" w:color="auto"/>
        <w:bottom w:val="none" w:sz="0" w:space="0" w:color="auto"/>
        <w:right w:val="none" w:sz="0" w:space="0" w:color="auto"/>
      </w:divBdr>
    </w:div>
    <w:div w:id="951744825">
      <w:marLeft w:val="0"/>
      <w:marRight w:val="0"/>
      <w:marTop w:val="0"/>
      <w:marBottom w:val="0"/>
      <w:divBdr>
        <w:top w:val="none" w:sz="0" w:space="0" w:color="auto"/>
        <w:left w:val="none" w:sz="0" w:space="0" w:color="auto"/>
        <w:bottom w:val="none" w:sz="0" w:space="0" w:color="auto"/>
        <w:right w:val="none" w:sz="0" w:space="0" w:color="auto"/>
      </w:divBdr>
    </w:div>
    <w:div w:id="951744826">
      <w:marLeft w:val="0"/>
      <w:marRight w:val="0"/>
      <w:marTop w:val="0"/>
      <w:marBottom w:val="0"/>
      <w:divBdr>
        <w:top w:val="none" w:sz="0" w:space="0" w:color="auto"/>
        <w:left w:val="none" w:sz="0" w:space="0" w:color="auto"/>
        <w:bottom w:val="none" w:sz="0" w:space="0" w:color="auto"/>
        <w:right w:val="none" w:sz="0" w:space="0" w:color="auto"/>
      </w:divBdr>
    </w:div>
    <w:div w:id="990716943">
      <w:bodyDiv w:val="1"/>
      <w:marLeft w:val="0"/>
      <w:marRight w:val="0"/>
      <w:marTop w:val="0"/>
      <w:marBottom w:val="0"/>
      <w:divBdr>
        <w:top w:val="none" w:sz="0" w:space="0" w:color="auto"/>
        <w:left w:val="none" w:sz="0" w:space="0" w:color="auto"/>
        <w:bottom w:val="none" w:sz="0" w:space="0" w:color="auto"/>
        <w:right w:val="none" w:sz="0" w:space="0" w:color="auto"/>
      </w:divBdr>
    </w:div>
    <w:div w:id="149221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45"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2.png"/><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por-rop@pco-bcp.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TSC CS">
      <a:dk1>
        <a:srgbClr val="5A5B5E"/>
      </a:dk1>
      <a:lt1>
        <a:sysClr val="window" lastClr="FFFFFF"/>
      </a:lt1>
      <a:dk2>
        <a:srgbClr val="E1E1E1"/>
      </a:dk2>
      <a:lt2>
        <a:srgbClr val="EB431B"/>
      </a:lt2>
      <a:accent1>
        <a:srgbClr val="66B133"/>
      </a:accent1>
      <a:accent2>
        <a:srgbClr val="F8B732"/>
      </a:accent2>
      <a:accent3>
        <a:srgbClr val="34AACD"/>
      </a:accent3>
      <a:accent4>
        <a:srgbClr val="258ABB"/>
      </a:accent4>
      <a:accent5>
        <a:srgbClr val="144862"/>
      </a:accent5>
      <a:accent6>
        <a:srgbClr val="FF671D"/>
      </a:accent6>
      <a:hlink>
        <a:srgbClr val="524A84"/>
      </a:hlink>
      <a:folHlink>
        <a:srgbClr val="948EB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6D49D-A110-4317-80A0-98BB0661A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8129</Words>
  <Characters>46340</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Fulford</dc:creator>
  <cp:keywords/>
  <dc:description/>
  <cp:lastModifiedBy>Claire Emery</cp:lastModifiedBy>
  <cp:revision>5</cp:revision>
  <cp:lastPrinted>2021-03-01T21:32:00Z</cp:lastPrinted>
  <dcterms:created xsi:type="dcterms:W3CDTF">2021-06-22T01:59:00Z</dcterms:created>
  <dcterms:modified xsi:type="dcterms:W3CDTF">2021-06-29T14:44:00Z</dcterms:modified>
</cp:coreProperties>
</file>