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628E4" w14:textId="77777777" w:rsidR="00CF5FFE" w:rsidRPr="00836B63" w:rsidRDefault="00CF5FFE" w:rsidP="00CF5FFE">
      <w:pPr>
        <w:pStyle w:val="1Report"/>
        <w:spacing w:line="280" w:lineRule="atLeast"/>
        <w:contextualSpacing/>
        <w:jc w:val="both"/>
        <w:rPr>
          <w:rFonts w:asciiTheme="minorHAnsi" w:hAnsiTheme="minorHAnsi"/>
          <w:lang w:val="en-CA"/>
        </w:rPr>
      </w:pPr>
      <w:r w:rsidRPr="00836B63">
        <w:rPr>
          <w:noProof/>
        </w:rPr>
        <w:drawing>
          <wp:inline distT="0" distB="0" distL="0" distR="0" wp14:anchorId="4424A7A0" wp14:editId="0989CB62">
            <wp:extent cx="3600450" cy="24858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64067" cy="252976"/>
                    </a:xfrm>
                    <a:prstGeom prst="rect">
                      <a:avLst/>
                    </a:prstGeom>
                    <a:noFill/>
                    <a:ln>
                      <a:noFill/>
                    </a:ln>
                  </pic:spPr>
                </pic:pic>
              </a:graphicData>
            </a:graphic>
          </wp:inline>
        </w:drawing>
      </w:r>
    </w:p>
    <w:p w14:paraId="266B6AA7" w14:textId="77777777" w:rsidR="00CF5FFE" w:rsidRPr="00836B63" w:rsidRDefault="00CF5FFE" w:rsidP="00CF5FFE">
      <w:pPr>
        <w:pStyle w:val="3Subtitle"/>
        <w:rPr>
          <w:rFonts w:cs="Calibri-Bold"/>
          <w:b/>
          <w:bCs/>
          <w:caps/>
          <w:sz w:val="48"/>
          <w:szCs w:val="48"/>
          <w:lang w:val="en-CA"/>
        </w:rPr>
      </w:pPr>
    </w:p>
    <w:p w14:paraId="01E74883" w14:textId="77777777" w:rsidR="00CF5FFE" w:rsidRDefault="00CF5FFE" w:rsidP="00CF5FFE">
      <w:pPr>
        <w:pStyle w:val="3Subtitle"/>
        <w:spacing w:line="280" w:lineRule="atLeast"/>
        <w:contextualSpacing/>
        <w:jc w:val="both"/>
        <w:rPr>
          <w:rFonts w:cs="Calibri-Bold"/>
          <w:b/>
          <w:bCs/>
          <w:sz w:val="48"/>
          <w:szCs w:val="48"/>
          <w:lang w:val="en-CA"/>
        </w:rPr>
      </w:pPr>
      <w:r w:rsidRPr="00AF780B">
        <w:rPr>
          <w:rFonts w:cs="Calibri-Bold"/>
          <w:b/>
          <w:bCs/>
          <w:sz w:val="48"/>
          <w:szCs w:val="48"/>
          <w:lang w:val="en-CA"/>
        </w:rPr>
        <w:t>Health, Attitudes, and Behavioural Insights Tracker (HABIT) Survey</w:t>
      </w:r>
    </w:p>
    <w:p w14:paraId="20D573C7" w14:textId="77777777" w:rsidR="00CF5FFE" w:rsidRDefault="00CF5FFE" w:rsidP="00CF5FFE">
      <w:pPr>
        <w:pStyle w:val="3Subtitle"/>
        <w:spacing w:line="280" w:lineRule="atLeast"/>
        <w:contextualSpacing/>
        <w:jc w:val="both"/>
        <w:rPr>
          <w:rFonts w:cs="Calibri-Bold"/>
          <w:b/>
          <w:bCs/>
          <w:sz w:val="48"/>
          <w:szCs w:val="48"/>
          <w:lang w:val="en-CA"/>
        </w:rPr>
      </w:pPr>
    </w:p>
    <w:p w14:paraId="37C756E3" w14:textId="77777777" w:rsidR="00CF5FFE" w:rsidRPr="00E53AA2" w:rsidRDefault="00CF5FFE" w:rsidP="00CF5FFE">
      <w:pPr>
        <w:pStyle w:val="2Title"/>
        <w:rPr>
          <w:lang w:val="en-CA"/>
        </w:rPr>
      </w:pPr>
    </w:p>
    <w:p w14:paraId="755D18C8" w14:textId="7D584996" w:rsidR="00CF5FFE" w:rsidRPr="00E53AA2" w:rsidRDefault="00CF5FFE" w:rsidP="00CF5FFE">
      <w:pPr>
        <w:pStyle w:val="3Subtitle"/>
        <w:spacing w:line="280" w:lineRule="atLeast"/>
        <w:contextualSpacing/>
        <w:jc w:val="both"/>
        <w:rPr>
          <w:rFonts w:cs="Calibri-Bold"/>
          <w:b/>
          <w:bCs/>
          <w:sz w:val="48"/>
          <w:szCs w:val="48"/>
          <w:lang w:val="en-CA"/>
        </w:rPr>
      </w:pPr>
      <w:r>
        <w:rPr>
          <w:rFonts w:asciiTheme="minorHAnsi" w:hAnsiTheme="minorHAnsi"/>
          <w:smallCaps/>
          <w:sz w:val="36"/>
          <w:szCs w:val="36"/>
          <w:lang w:val="en-CA"/>
        </w:rPr>
        <w:t>SUMMARY</w:t>
      </w:r>
    </w:p>
    <w:p w14:paraId="0F8C9417"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p>
    <w:p w14:paraId="1F19EB55"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p>
    <w:p w14:paraId="4065DF77"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r w:rsidRPr="00836B63">
        <w:rPr>
          <w:rFonts w:asciiTheme="minorHAnsi" w:hAnsiTheme="minorHAnsi"/>
          <w:sz w:val="22"/>
          <w:szCs w:val="22"/>
          <w:lang w:val="en-CA"/>
        </w:rPr>
        <w:t>Submitted to</w:t>
      </w:r>
    </w:p>
    <w:p w14:paraId="1F3AABED"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r w:rsidRPr="00836B63">
        <w:rPr>
          <w:rFonts w:asciiTheme="minorHAnsi" w:hAnsiTheme="minorHAnsi"/>
          <w:sz w:val="22"/>
          <w:szCs w:val="22"/>
          <w:lang w:val="en-CA"/>
        </w:rPr>
        <w:t>Privy Council Office (PCO)</w:t>
      </w:r>
    </w:p>
    <w:p w14:paraId="28E278D1"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p>
    <w:p w14:paraId="1341BBFA" w14:textId="77777777" w:rsidR="00CF5FFE" w:rsidRPr="00836B63" w:rsidRDefault="00CF5FFE" w:rsidP="00CF5FFE">
      <w:pPr>
        <w:pStyle w:val="3Subtitle"/>
        <w:spacing w:line="280" w:lineRule="atLeast"/>
        <w:contextualSpacing/>
        <w:jc w:val="both"/>
        <w:rPr>
          <w:rFonts w:asciiTheme="minorHAnsi" w:hAnsiTheme="minorHAnsi"/>
          <w:sz w:val="22"/>
          <w:szCs w:val="22"/>
        </w:rPr>
      </w:pPr>
      <w:proofErr w:type="spellStart"/>
      <w:r w:rsidRPr="00836B63">
        <w:rPr>
          <w:rFonts w:asciiTheme="minorHAnsi" w:hAnsiTheme="minorHAnsi"/>
          <w:sz w:val="22"/>
          <w:szCs w:val="22"/>
        </w:rPr>
        <w:t>Prepared</w:t>
      </w:r>
      <w:proofErr w:type="spellEnd"/>
      <w:r w:rsidRPr="00836B63">
        <w:rPr>
          <w:rFonts w:asciiTheme="minorHAnsi" w:hAnsiTheme="minorHAnsi"/>
          <w:sz w:val="22"/>
          <w:szCs w:val="22"/>
        </w:rPr>
        <w:t xml:space="preserve"> by</w:t>
      </w:r>
    </w:p>
    <w:p w14:paraId="5BD51553" w14:textId="77777777" w:rsidR="00CF5FFE" w:rsidRPr="00836B63" w:rsidRDefault="00CF5FFE" w:rsidP="00CF5FFE">
      <w:pPr>
        <w:pStyle w:val="3Subtitle"/>
        <w:spacing w:line="280" w:lineRule="atLeast"/>
        <w:contextualSpacing/>
        <w:jc w:val="both"/>
        <w:rPr>
          <w:rFonts w:asciiTheme="minorHAnsi" w:hAnsiTheme="minorHAnsi"/>
          <w:sz w:val="22"/>
          <w:szCs w:val="22"/>
        </w:rPr>
      </w:pPr>
      <w:r w:rsidRPr="00836B63">
        <w:rPr>
          <w:rFonts w:asciiTheme="minorHAnsi" w:hAnsiTheme="minorHAnsi"/>
          <w:sz w:val="22"/>
          <w:szCs w:val="22"/>
        </w:rPr>
        <w:t>Leger</w:t>
      </w:r>
    </w:p>
    <w:p w14:paraId="189FF123" w14:textId="77777777" w:rsidR="00CF5FFE" w:rsidRPr="00836B63" w:rsidRDefault="00CF5FFE" w:rsidP="00CF5FFE">
      <w:pPr>
        <w:pStyle w:val="3Subtitle"/>
        <w:spacing w:line="280" w:lineRule="atLeast"/>
        <w:contextualSpacing/>
        <w:jc w:val="both"/>
        <w:rPr>
          <w:rFonts w:asciiTheme="minorHAnsi" w:hAnsiTheme="minorHAnsi"/>
          <w:sz w:val="22"/>
          <w:szCs w:val="22"/>
        </w:rPr>
      </w:pPr>
    </w:p>
    <w:p w14:paraId="4AF29957" w14:textId="77777777" w:rsidR="00CF5FFE" w:rsidRPr="00836B63" w:rsidRDefault="00CF5FFE" w:rsidP="00CF5FFE">
      <w:pPr>
        <w:pStyle w:val="3Subtitle"/>
        <w:spacing w:line="280" w:lineRule="atLeast"/>
        <w:contextualSpacing/>
        <w:jc w:val="both"/>
        <w:rPr>
          <w:rFonts w:asciiTheme="minorHAnsi" w:hAnsiTheme="minorHAnsi"/>
          <w:sz w:val="22"/>
          <w:szCs w:val="22"/>
        </w:rPr>
      </w:pPr>
      <w:r w:rsidRPr="00836B63">
        <w:rPr>
          <w:rFonts w:asciiTheme="minorHAnsi" w:hAnsiTheme="minorHAnsi"/>
          <w:sz w:val="22"/>
          <w:szCs w:val="22"/>
        </w:rPr>
        <w:t>Ce rapport est aussi disponible en français</w:t>
      </w:r>
    </w:p>
    <w:p w14:paraId="57F17F56" w14:textId="77777777" w:rsidR="00CF5FFE" w:rsidRPr="00836B63" w:rsidRDefault="00CF5FFE" w:rsidP="00CF5FFE">
      <w:pPr>
        <w:pStyle w:val="3Subtitle"/>
        <w:spacing w:line="280" w:lineRule="atLeast"/>
        <w:contextualSpacing/>
        <w:jc w:val="both"/>
        <w:rPr>
          <w:rFonts w:asciiTheme="minorHAnsi" w:hAnsiTheme="minorHAnsi"/>
          <w:sz w:val="22"/>
          <w:szCs w:val="22"/>
        </w:rPr>
      </w:pPr>
    </w:p>
    <w:p w14:paraId="66AEF330"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r w:rsidRPr="00836B63">
        <w:rPr>
          <w:rFonts w:asciiTheme="minorHAnsi" w:hAnsiTheme="minorHAnsi"/>
          <w:b/>
          <w:bCs/>
          <w:sz w:val="22"/>
          <w:szCs w:val="22"/>
          <w:lang w:val="en-CA"/>
        </w:rPr>
        <w:t>Contract number:</w:t>
      </w:r>
      <w:r w:rsidRPr="00836B63">
        <w:rPr>
          <w:rFonts w:asciiTheme="minorHAnsi" w:hAnsiTheme="minorHAnsi"/>
          <w:sz w:val="22"/>
          <w:szCs w:val="22"/>
          <w:lang w:val="en-CA"/>
        </w:rPr>
        <w:t xml:space="preserve"> 35035-23-0995</w:t>
      </w:r>
    </w:p>
    <w:p w14:paraId="60B45652"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r w:rsidRPr="00836B63">
        <w:rPr>
          <w:rFonts w:asciiTheme="minorHAnsi" w:hAnsiTheme="minorHAnsi"/>
          <w:b/>
          <w:bCs/>
          <w:sz w:val="22"/>
          <w:szCs w:val="22"/>
          <w:lang w:val="en-CA"/>
        </w:rPr>
        <w:t>Registration number:</w:t>
      </w:r>
      <w:r w:rsidRPr="00836B63">
        <w:rPr>
          <w:rFonts w:asciiTheme="minorHAnsi" w:hAnsiTheme="minorHAnsi"/>
          <w:sz w:val="22"/>
          <w:szCs w:val="22"/>
          <w:lang w:val="en-CA"/>
        </w:rPr>
        <w:t xml:space="preserve"> POR #030-23</w:t>
      </w:r>
    </w:p>
    <w:p w14:paraId="0160787C"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r w:rsidRPr="00836B63">
        <w:rPr>
          <w:rFonts w:asciiTheme="minorHAnsi" w:hAnsiTheme="minorHAnsi"/>
          <w:b/>
          <w:bCs/>
          <w:sz w:val="22"/>
          <w:szCs w:val="22"/>
          <w:lang w:val="en-CA"/>
        </w:rPr>
        <w:t>Contract Value:</w:t>
      </w:r>
      <w:r w:rsidRPr="00836B63">
        <w:rPr>
          <w:rFonts w:asciiTheme="minorHAnsi" w:hAnsiTheme="minorHAnsi"/>
          <w:sz w:val="22"/>
          <w:szCs w:val="22"/>
          <w:lang w:val="en-CA"/>
        </w:rPr>
        <w:t xml:space="preserve"> $99,713.46 (Including HST)</w:t>
      </w:r>
    </w:p>
    <w:p w14:paraId="6CFAE7B7"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r w:rsidRPr="00836B63">
        <w:rPr>
          <w:rFonts w:asciiTheme="minorHAnsi" w:hAnsiTheme="minorHAnsi"/>
          <w:b/>
          <w:bCs/>
          <w:sz w:val="22"/>
          <w:szCs w:val="22"/>
          <w:lang w:val="en-CA"/>
        </w:rPr>
        <w:t>Award date:</w:t>
      </w:r>
      <w:r w:rsidRPr="00836B63">
        <w:rPr>
          <w:rFonts w:asciiTheme="minorHAnsi" w:hAnsiTheme="minorHAnsi"/>
          <w:sz w:val="22"/>
          <w:szCs w:val="22"/>
          <w:lang w:val="en-CA"/>
        </w:rPr>
        <w:t xml:space="preserve"> August 08, 2024</w:t>
      </w:r>
    </w:p>
    <w:p w14:paraId="709839EF" w14:textId="77777777" w:rsidR="00CF5FFE" w:rsidRPr="00E53AA2" w:rsidRDefault="00CF5FFE" w:rsidP="00CF5FFE">
      <w:pPr>
        <w:pStyle w:val="3Subtitle"/>
        <w:spacing w:line="280" w:lineRule="atLeast"/>
        <w:contextualSpacing/>
        <w:jc w:val="both"/>
        <w:rPr>
          <w:rFonts w:asciiTheme="minorHAnsi" w:hAnsiTheme="minorHAnsi"/>
          <w:sz w:val="22"/>
          <w:szCs w:val="22"/>
          <w:lang w:val="en-CA"/>
        </w:rPr>
      </w:pPr>
      <w:r w:rsidRPr="00836B63">
        <w:rPr>
          <w:rFonts w:asciiTheme="minorHAnsi" w:hAnsiTheme="minorHAnsi"/>
          <w:b/>
          <w:bCs/>
          <w:sz w:val="22"/>
          <w:szCs w:val="22"/>
          <w:lang w:val="en-CA"/>
        </w:rPr>
        <w:t>Delivery date:</w:t>
      </w:r>
      <w:r w:rsidRPr="00836B63">
        <w:rPr>
          <w:rFonts w:asciiTheme="minorHAnsi" w:hAnsiTheme="minorHAnsi"/>
          <w:sz w:val="22"/>
          <w:szCs w:val="22"/>
          <w:lang w:val="en-CA"/>
        </w:rPr>
        <w:t xml:space="preserve"> March 27, 2024</w:t>
      </w:r>
    </w:p>
    <w:p w14:paraId="1AF38521"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p>
    <w:p w14:paraId="0B470DD8" w14:textId="77777777" w:rsidR="00CF5FFE" w:rsidRPr="00836B63" w:rsidRDefault="00CF5FFE" w:rsidP="00CF5FFE">
      <w:pPr>
        <w:pStyle w:val="3Subtitle"/>
        <w:spacing w:line="280" w:lineRule="atLeast"/>
        <w:contextualSpacing/>
        <w:jc w:val="both"/>
        <w:rPr>
          <w:rFonts w:asciiTheme="minorHAnsi" w:hAnsiTheme="minorHAnsi"/>
          <w:sz w:val="22"/>
          <w:szCs w:val="22"/>
          <w:lang w:val="en-CA"/>
        </w:rPr>
      </w:pPr>
      <w:r w:rsidRPr="00836B63">
        <w:rPr>
          <w:rFonts w:asciiTheme="minorHAnsi" w:hAnsiTheme="minorHAnsi"/>
          <w:sz w:val="22"/>
          <w:szCs w:val="22"/>
          <w:lang w:val="en-CA"/>
        </w:rPr>
        <w:t xml:space="preserve">For more information on this report, please contact the Privy Council Office at: </w:t>
      </w:r>
      <w:hyperlink r:id="rId6" w:history="1">
        <w:r w:rsidRPr="00836B63">
          <w:rPr>
            <w:rStyle w:val="Hyperlink"/>
            <w:rFonts w:asciiTheme="minorHAnsi" w:hAnsiTheme="minorHAnsi"/>
            <w:sz w:val="22"/>
            <w:szCs w:val="22"/>
            <w:lang w:val="en-CA"/>
          </w:rPr>
          <w:t>por-rop@pco-bcp.gc.ca</w:t>
        </w:r>
      </w:hyperlink>
      <w:r w:rsidRPr="00836B63">
        <w:rPr>
          <w:rFonts w:asciiTheme="minorHAnsi" w:hAnsiTheme="minorHAnsi"/>
          <w:sz w:val="22"/>
          <w:szCs w:val="22"/>
          <w:lang w:val="en-CA"/>
        </w:rPr>
        <w:t xml:space="preserve"> </w:t>
      </w:r>
    </w:p>
    <w:p w14:paraId="3FEADC8E" w14:textId="77777777" w:rsidR="00CF5FFE" w:rsidRPr="00836B63" w:rsidRDefault="00CF5FFE" w:rsidP="00CF5FFE">
      <w:pPr>
        <w:spacing w:after="0" w:line="280" w:lineRule="atLeast"/>
        <w:jc w:val="both"/>
        <w:rPr>
          <w:rFonts w:asciiTheme="minorHAnsi" w:hAnsiTheme="minorHAnsi"/>
          <w:lang w:val="en-CA"/>
        </w:rPr>
      </w:pPr>
    </w:p>
    <w:p w14:paraId="301BF932" w14:textId="77777777" w:rsidR="00CF5FFE" w:rsidRPr="00836B63" w:rsidRDefault="00CF5FFE" w:rsidP="00CF5FFE">
      <w:pPr>
        <w:spacing w:after="0" w:line="280" w:lineRule="atLeast"/>
        <w:jc w:val="both"/>
        <w:rPr>
          <w:rFonts w:asciiTheme="minorHAnsi" w:hAnsiTheme="minorHAnsi"/>
          <w:lang w:val="en-CA"/>
        </w:rPr>
      </w:pPr>
    </w:p>
    <w:p w14:paraId="3C33C330" w14:textId="77777777" w:rsidR="00CF5FFE" w:rsidRPr="00836B63" w:rsidRDefault="00CF5FFE" w:rsidP="00CF5FFE">
      <w:pPr>
        <w:spacing w:after="0" w:line="280" w:lineRule="atLeast"/>
        <w:jc w:val="both"/>
        <w:rPr>
          <w:rFonts w:asciiTheme="minorHAnsi" w:hAnsiTheme="minorHAnsi"/>
          <w:lang w:val="en-CA"/>
        </w:rPr>
      </w:pPr>
    </w:p>
    <w:p w14:paraId="28D3E1FB" w14:textId="77777777" w:rsidR="00CF5FFE" w:rsidRPr="00836B63" w:rsidRDefault="00CF5FFE" w:rsidP="00CF5FFE">
      <w:pPr>
        <w:spacing w:after="0" w:line="280" w:lineRule="atLeast"/>
        <w:ind w:left="5664" w:firstLine="708"/>
        <w:jc w:val="both"/>
        <w:rPr>
          <w:rFonts w:asciiTheme="minorHAnsi" w:hAnsiTheme="minorHAnsi"/>
        </w:rPr>
      </w:pPr>
      <w:r w:rsidRPr="00836B63">
        <w:rPr>
          <w:rFonts w:asciiTheme="minorHAnsi" w:hAnsiTheme="minorHAnsi"/>
          <w:noProof/>
          <w:lang w:val="en-US"/>
        </w:rPr>
        <w:drawing>
          <wp:inline distT="0" distB="0" distL="0" distR="0" wp14:anchorId="197AA9F2" wp14:editId="11D66F0D">
            <wp:extent cx="2263810" cy="790575"/>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2267757" cy="791953"/>
                    </a:xfrm>
                    <a:prstGeom prst="rect">
                      <a:avLst/>
                    </a:prstGeom>
                    <a:noFill/>
                  </pic:spPr>
                </pic:pic>
              </a:graphicData>
            </a:graphic>
          </wp:inline>
        </w:drawing>
      </w:r>
    </w:p>
    <w:p w14:paraId="63910FFB" w14:textId="77777777" w:rsidR="00CF5FFE" w:rsidRDefault="00CF5FFE" w:rsidP="00CF5FFE">
      <w:pPr>
        <w:spacing w:after="0" w:line="280" w:lineRule="atLeast"/>
        <w:jc w:val="both"/>
        <w:rPr>
          <w:rFonts w:asciiTheme="minorHAnsi" w:hAnsiTheme="minorHAnsi" w:cs="Calibri-Bold"/>
          <w:b/>
          <w:bCs/>
          <w:color w:val="000000"/>
          <w:sz w:val="36"/>
          <w:szCs w:val="48"/>
          <w:lang w:val="en-CA" w:eastAsia="fr-CA"/>
        </w:rPr>
      </w:pPr>
      <w:r w:rsidRPr="00AF780B">
        <w:rPr>
          <w:rFonts w:asciiTheme="minorHAnsi" w:hAnsiTheme="minorHAnsi" w:cs="Calibri-Bold"/>
          <w:b/>
          <w:bCs/>
          <w:color w:val="000000"/>
          <w:sz w:val="36"/>
          <w:szCs w:val="48"/>
          <w:lang w:val="en-CA" w:eastAsia="fr-CA"/>
        </w:rPr>
        <w:lastRenderedPageBreak/>
        <w:t>Health, Attitudes, and Behavioural Insights Tracker (HABIT) Survey</w:t>
      </w:r>
    </w:p>
    <w:p w14:paraId="4F1EFA0F" w14:textId="77777777" w:rsidR="00CF5FFE" w:rsidRPr="00836B63" w:rsidRDefault="00CF5FFE" w:rsidP="00CF5FFE">
      <w:pPr>
        <w:spacing w:after="0" w:line="280" w:lineRule="atLeast"/>
        <w:jc w:val="both"/>
        <w:rPr>
          <w:rFonts w:asciiTheme="minorHAnsi" w:hAnsiTheme="minorHAnsi"/>
          <w:b/>
          <w:bCs/>
          <w:lang w:val="en-CA" w:eastAsia="fr-CA"/>
        </w:rPr>
      </w:pPr>
    </w:p>
    <w:p w14:paraId="726BDE2C" w14:textId="77777777" w:rsidR="00CF5FFE" w:rsidRPr="00836B63" w:rsidRDefault="00CF5FFE" w:rsidP="00CF5FFE">
      <w:pPr>
        <w:spacing w:after="0" w:line="280" w:lineRule="atLeast"/>
        <w:jc w:val="both"/>
        <w:rPr>
          <w:rFonts w:asciiTheme="minorHAnsi" w:hAnsiTheme="minorHAnsi"/>
          <w:b/>
          <w:bCs/>
          <w:lang w:val="en-CA" w:eastAsia="fr-CA"/>
        </w:rPr>
      </w:pPr>
      <w:r w:rsidRPr="00836B63">
        <w:rPr>
          <w:rFonts w:asciiTheme="minorHAnsi" w:hAnsiTheme="minorHAnsi"/>
          <w:b/>
          <w:bCs/>
          <w:lang w:val="en-CA" w:eastAsia="fr-CA"/>
        </w:rPr>
        <w:t>Methodological Report</w:t>
      </w:r>
    </w:p>
    <w:p w14:paraId="2F373E30" w14:textId="77777777" w:rsidR="00CF5FFE" w:rsidRPr="00836B63" w:rsidRDefault="00CF5FFE" w:rsidP="00CF5FFE">
      <w:pPr>
        <w:spacing w:after="0" w:line="280" w:lineRule="atLeast"/>
        <w:jc w:val="both"/>
        <w:rPr>
          <w:rFonts w:asciiTheme="minorHAnsi" w:hAnsiTheme="minorHAnsi"/>
          <w:b/>
          <w:bCs/>
          <w:lang w:val="en-CA" w:eastAsia="fr-CA"/>
        </w:rPr>
      </w:pPr>
      <w:r w:rsidRPr="00836B63">
        <w:rPr>
          <w:rFonts w:asciiTheme="minorHAnsi" w:hAnsiTheme="minorHAnsi"/>
          <w:b/>
          <w:bCs/>
          <w:lang w:val="en-CA" w:eastAsia="fr-CA"/>
        </w:rPr>
        <w:t>Prepared for Privy Council Office of Canada</w:t>
      </w:r>
    </w:p>
    <w:p w14:paraId="7559892E" w14:textId="77777777" w:rsidR="00CF5FFE" w:rsidRPr="00836B63" w:rsidRDefault="00CF5FFE" w:rsidP="00CF5FFE">
      <w:pPr>
        <w:spacing w:after="0" w:line="280" w:lineRule="atLeast"/>
        <w:jc w:val="both"/>
        <w:rPr>
          <w:rFonts w:asciiTheme="minorHAnsi" w:hAnsiTheme="minorHAnsi"/>
          <w:bCs/>
          <w:lang w:val="en-CA" w:eastAsia="fr-CA"/>
        </w:rPr>
      </w:pPr>
      <w:r w:rsidRPr="00836B63">
        <w:rPr>
          <w:rFonts w:asciiTheme="minorHAnsi" w:hAnsiTheme="minorHAnsi"/>
          <w:bCs/>
          <w:lang w:val="en-CA" w:eastAsia="fr-CA"/>
        </w:rPr>
        <w:t>Supplier Name: Leger</w:t>
      </w:r>
    </w:p>
    <w:p w14:paraId="06F0B070" w14:textId="77777777" w:rsidR="00CF5FFE" w:rsidRPr="00836B63" w:rsidRDefault="00CF5FFE" w:rsidP="00CF5FFE">
      <w:pPr>
        <w:spacing w:after="0" w:line="280" w:lineRule="atLeast"/>
        <w:jc w:val="both"/>
        <w:rPr>
          <w:rFonts w:asciiTheme="minorHAnsi" w:hAnsiTheme="minorHAnsi"/>
          <w:bCs/>
          <w:lang w:val="en-CA" w:eastAsia="fr-CA"/>
        </w:rPr>
      </w:pPr>
      <w:r w:rsidRPr="00836B63">
        <w:rPr>
          <w:rFonts w:asciiTheme="minorHAnsi" w:hAnsiTheme="minorHAnsi"/>
          <w:bCs/>
          <w:lang w:val="en-CA" w:eastAsia="fr-CA"/>
        </w:rPr>
        <w:t>March 2024</w:t>
      </w:r>
    </w:p>
    <w:p w14:paraId="5AAD5C94" w14:textId="77777777" w:rsidR="00CF5FFE" w:rsidRPr="00836B63" w:rsidRDefault="00CF5FFE" w:rsidP="00CF5FFE">
      <w:pPr>
        <w:spacing w:after="0" w:line="280" w:lineRule="atLeast"/>
        <w:jc w:val="both"/>
        <w:rPr>
          <w:rFonts w:asciiTheme="minorHAnsi" w:hAnsiTheme="minorHAnsi"/>
          <w:bCs/>
          <w:lang w:val="en-CA" w:eastAsia="fr-CA"/>
        </w:rPr>
      </w:pPr>
    </w:p>
    <w:p w14:paraId="47C573D4" w14:textId="77777777" w:rsidR="00CF5FFE" w:rsidRPr="00836B63" w:rsidRDefault="00CF5FFE" w:rsidP="00CF5FFE">
      <w:pPr>
        <w:spacing w:after="0"/>
        <w:jc w:val="both"/>
        <w:rPr>
          <w:rFonts w:asciiTheme="minorHAnsi" w:hAnsiTheme="minorHAnsi"/>
          <w:bCs/>
          <w:lang w:val="en-CA" w:eastAsia="fr-CA"/>
        </w:rPr>
      </w:pPr>
      <w:r w:rsidRPr="00836B63">
        <w:rPr>
          <w:rFonts w:asciiTheme="minorHAnsi" w:hAnsiTheme="minorHAnsi"/>
          <w:bCs/>
          <w:lang w:val="en-CA" w:eastAsia="fr-CA"/>
        </w:rPr>
        <w:t>This public opinion research methodological report presents the technical aspects of a web survey conducted by Leger Marketing Inc. on behalf of the Privy Council Office of Canada. The research was conducted with Canadians 18 and over who could understand and express themselves in either French or English.</w:t>
      </w:r>
    </w:p>
    <w:p w14:paraId="7CF97297" w14:textId="77777777" w:rsidR="00CF5FFE" w:rsidRPr="00836B63" w:rsidRDefault="00CF5FFE" w:rsidP="00CF5FFE">
      <w:pPr>
        <w:spacing w:after="0"/>
        <w:jc w:val="both"/>
        <w:rPr>
          <w:rFonts w:asciiTheme="minorHAnsi" w:hAnsiTheme="minorHAnsi"/>
          <w:bCs/>
          <w:lang w:val="en-CA" w:eastAsia="fr-CA"/>
        </w:rPr>
      </w:pPr>
    </w:p>
    <w:p w14:paraId="08ADFE40" w14:textId="77777777" w:rsidR="00CF5FFE" w:rsidRPr="00836B63" w:rsidRDefault="00CF5FFE" w:rsidP="00CF5FFE">
      <w:pPr>
        <w:spacing w:after="0"/>
        <w:jc w:val="both"/>
        <w:rPr>
          <w:rFonts w:asciiTheme="minorHAnsi" w:hAnsiTheme="minorHAnsi"/>
          <w:bCs/>
          <w:lang w:eastAsia="fr-CA"/>
        </w:rPr>
      </w:pPr>
      <w:r w:rsidRPr="00836B63">
        <w:rPr>
          <w:rFonts w:asciiTheme="minorHAnsi" w:hAnsiTheme="minorHAnsi"/>
          <w:bCs/>
          <w:lang w:eastAsia="fr-CA"/>
        </w:rPr>
        <w:t>Cette publication est aussi disponible en français sous le titre :</w:t>
      </w:r>
      <w:r>
        <w:rPr>
          <w:rFonts w:asciiTheme="minorHAnsi" w:hAnsiTheme="minorHAnsi"/>
          <w:bCs/>
          <w:lang w:eastAsia="fr-CA"/>
        </w:rPr>
        <w:t xml:space="preserve"> </w:t>
      </w:r>
      <w:r w:rsidRPr="00C44170">
        <w:rPr>
          <w:rFonts w:asciiTheme="minorHAnsi" w:hAnsiTheme="minorHAnsi"/>
          <w:bCs/>
          <w:lang w:eastAsia="fr-CA"/>
        </w:rPr>
        <w:t>L'ENQUÊTE SUR LA SANTÉ, LES ATTITUDES ET LES CONNAISSANCES COMPORTEMENTALES (SACC)</w:t>
      </w:r>
    </w:p>
    <w:p w14:paraId="15FF863D" w14:textId="77777777" w:rsidR="00CF5FFE" w:rsidRPr="00836B63" w:rsidRDefault="00CF5FFE" w:rsidP="00CF5FFE">
      <w:pPr>
        <w:spacing w:after="0"/>
        <w:jc w:val="both"/>
        <w:rPr>
          <w:rFonts w:asciiTheme="minorHAnsi" w:hAnsiTheme="minorHAnsi"/>
          <w:bCs/>
          <w:lang w:eastAsia="fr-CA"/>
        </w:rPr>
      </w:pPr>
    </w:p>
    <w:p w14:paraId="06CD935A" w14:textId="77777777" w:rsidR="00CF5FFE" w:rsidRPr="00836B63" w:rsidRDefault="00CF5FFE" w:rsidP="00CF5FFE">
      <w:pPr>
        <w:spacing w:after="0"/>
        <w:jc w:val="both"/>
        <w:rPr>
          <w:rFonts w:asciiTheme="minorHAnsi" w:hAnsiTheme="minorHAnsi"/>
          <w:bCs/>
          <w:lang w:val="en-CA" w:eastAsia="fr-CA"/>
        </w:rPr>
      </w:pPr>
      <w:r w:rsidRPr="00836B63">
        <w:rPr>
          <w:rFonts w:asciiTheme="minorHAnsi" w:hAnsiTheme="minorHAnsi"/>
          <w:bCs/>
          <w:lang w:val="en-CA" w:eastAsia="fr-CA"/>
        </w:rPr>
        <w:t xml:space="preserve">This publication may be reproduced for non-commercial purposes only. Prior written permission must be obtained from the Privy Council Office. For more information on this report, please contact the Privy Council Office at </w:t>
      </w:r>
      <w:hyperlink r:id="rId8" w:history="1">
        <w:r w:rsidRPr="00836B63">
          <w:rPr>
            <w:rStyle w:val="Hyperlink"/>
            <w:lang w:val="en-CA"/>
          </w:rPr>
          <w:t>por-rop</w:t>
        </w:r>
        <w:r w:rsidRPr="00836B63">
          <w:rPr>
            <w:rStyle w:val="Hyperlink"/>
            <w:rFonts w:asciiTheme="minorHAnsi" w:hAnsiTheme="minorHAnsi" w:cs="Arial"/>
            <w:lang w:val="en-CA"/>
          </w:rPr>
          <w:t>@pco-bcp.gc.ca</w:t>
        </w:r>
      </w:hyperlink>
      <w:r w:rsidRPr="00836B63">
        <w:rPr>
          <w:rFonts w:asciiTheme="minorHAnsi" w:hAnsiTheme="minorHAnsi" w:cs="Arial"/>
          <w:lang w:val="en-CA"/>
        </w:rPr>
        <w:t xml:space="preserve"> or at</w:t>
      </w:r>
      <w:r w:rsidRPr="00836B63">
        <w:rPr>
          <w:rFonts w:asciiTheme="minorHAnsi" w:hAnsiTheme="minorHAnsi"/>
          <w:bCs/>
          <w:lang w:val="en-CA" w:eastAsia="fr-CA"/>
        </w:rPr>
        <w:t xml:space="preserve">: </w:t>
      </w:r>
    </w:p>
    <w:p w14:paraId="179A9839" w14:textId="77777777" w:rsidR="00CF5FFE" w:rsidRPr="00836B63" w:rsidRDefault="00CF5FFE" w:rsidP="00CF5FFE">
      <w:pPr>
        <w:spacing w:after="0" w:line="280" w:lineRule="atLeast"/>
        <w:ind w:left="1416"/>
        <w:jc w:val="both"/>
        <w:rPr>
          <w:rFonts w:asciiTheme="minorHAnsi" w:hAnsiTheme="minorHAnsi"/>
          <w:bCs/>
          <w:lang w:val="en-CA" w:eastAsia="fr-CA"/>
        </w:rPr>
      </w:pPr>
    </w:p>
    <w:p w14:paraId="20CE82D9" w14:textId="77777777" w:rsidR="00CF5FFE" w:rsidRPr="00836B63" w:rsidRDefault="00CF5FFE" w:rsidP="00CF5FFE">
      <w:pPr>
        <w:spacing w:after="0" w:line="280" w:lineRule="atLeast"/>
        <w:ind w:left="1440"/>
        <w:jc w:val="both"/>
        <w:rPr>
          <w:rFonts w:asciiTheme="minorHAnsi" w:hAnsiTheme="minorHAnsi" w:cs="Arial"/>
          <w:lang w:val="en-CA"/>
        </w:rPr>
      </w:pPr>
      <w:r w:rsidRPr="00836B63">
        <w:rPr>
          <w:rFonts w:asciiTheme="minorHAnsi" w:hAnsiTheme="minorHAnsi" w:cs="Arial"/>
          <w:lang w:val="en-CA"/>
        </w:rPr>
        <w:t>Privy Council Office</w:t>
      </w:r>
    </w:p>
    <w:p w14:paraId="2D7E84E4" w14:textId="77777777" w:rsidR="00CF5FFE" w:rsidRPr="00836B63" w:rsidRDefault="00CF5FFE" w:rsidP="00CF5FFE">
      <w:pPr>
        <w:spacing w:after="0" w:line="280" w:lineRule="atLeast"/>
        <w:ind w:left="1440"/>
        <w:jc w:val="both"/>
        <w:rPr>
          <w:rFonts w:asciiTheme="minorHAnsi" w:hAnsiTheme="minorHAnsi" w:cs="Arial"/>
          <w:lang w:val="en-CA"/>
        </w:rPr>
      </w:pPr>
      <w:r w:rsidRPr="00836B63">
        <w:rPr>
          <w:rFonts w:asciiTheme="minorHAnsi" w:hAnsiTheme="minorHAnsi" w:cs="Arial"/>
          <w:lang w:val="en-CA"/>
        </w:rPr>
        <w:t>Blackburn Building</w:t>
      </w:r>
    </w:p>
    <w:p w14:paraId="69BCF24C" w14:textId="77777777" w:rsidR="00CF5FFE" w:rsidRPr="00836B63" w:rsidRDefault="00CF5FFE" w:rsidP="00CF5FFE">
      <w:pPr>
        <w:spacing w:after="0" w:line="280" w:lineRule="atLeast"/>
        <w:ind w:left="1440"/>
        <w:jc w:val="both"/>
        <w:rPr>
          <w:rFonts w:asciiTheme="minorHAnsi" w:hAnsiTheme="minorHAnsi" w:cs="Arial"/>
          <w:lang w:val="en-CA"/>
        </w:rPr>
      </w:pPr>
      <w:r w:rsidRPr="00836B63">
        <w:rPr>
          <w:rFonts w:asciiTheme="minorHAnsi" w:hAnsiTheme="minorHAnsi" w:cs="Arial"/>
          <w:lang w:val="en-CA"/>
        </w:rPr>
        <w:t>Ottawa, ON K1A 0A3</w:t>
      </w:r>
    </w:p>
    <w:p w14:paraId="10A834CA" w14:textId="77777777" w:rsidR="00CF5FFE" w:rsidRPr="00836B63" w:rsidRDefault="00CF5FFE" w:rsidP="00CF5FFE">
      <w:pPr>
        <w:spacing w:after="0" w:line="280" w:lineRule="atLeast"/>
        <w:jc w:val="both"/>
        <w:rPr>
          <w:rFonts w:asciiTheme="minorHAnsi" w:hAnsiTheme="minorHAnsi"/>
          <w:b/>
          <w:bCs/>
          <w:lang w:val="en-CA" w:eastAsia="fr-CA"/>
        </w:rPr>
      </w:pPr>
    </w:p>
    <w:p w14:paraId="1FFDE16E" w14:textId="77777777" w:rsidR="00CF5FFE" w:rsidRPr="00836B63" w:rsidRDefault="00CF5FFE" w:rsidP="00CF5FFE">
      <w:pPr>
        <w:spacing w:after="0"/>
        <w:rPr>
          <w:rFonts w:asciiTheme="minorHAnsi" w:hAnsiTheme="minorHAnsi"/>
          <w:b/>
          <w:bCs/>
          <w:lang w:val="en-CA" w:eastAsia="fr-CA"/>
        </w:rPr>
      </w:pPr>
      <w:r w:rsidRPr="00836B63">
        <w:rPr>
          <w:rFonts w:asciiTheme="minorHAnsi" w:hAnsiTheme="minorHAnsi"/>
          <w:b/>
          <w:bCs/>
          <w:lang w:val="en-CA" w:eastAsia="fr-CA"/>
        </w:rPr>
        <w:t xml:space="preserve">Catalogue Number: </w:t>
      </w:r>
    </w:p>
    <w:p w14:paraId="69BE0DB4" w14:textId="77777777" w:rsidR="00CF5FFE" w:rsidRPr="00836B63" w:rsidRDefault="00CF5FFE" w:rsidP="00CF5FFE">
      <w:pPr>
        <w:rPr>
          <w:lang w:val="en-CA" w:eastAsia="fr-CA"/>
        </w:rPr>
      </w:pPr>
      <w:r w:rsidRPr="00836B63">
        <w:rPr>
          <w:lang w:val="en-CA"/>
        </w:rPr>
        <w:t>CP22-215/2024E-PDF</w:t>
      </w:r>
    </w:p>
    <w:p w14:paraId="3B209CF0" w14:textId="77777777" w:rsidR="00CF5FFE" w:rsidRPr="00836B63" w:rsidRDefault="00CF5FFE" w:rsidP="00CF5FFE">
      <w:pPr>
        <w:spacing w:after="0"/>
        <w:rPr>
          <w:rFonts w:asciiTheme="minorHAnsi" w:hAnsiTheme="minorHAnsi"/>
          <w:b/>
          <w:bCs/>
          <w:lang w:val="en-CA" w:eastAsia="fr-CA"/>
        </w:rPr>
      </w:pPr>
      <w:r w:rsidRPr="00836B63">
        <w:rPr>
          <w:rFonts w:asciiTheme="minorHAnsi" w:hAnsiTheme="minorHAnsi"/>
          <w:b/>
          <w:bCs/>
          <w:lang w:val="en-CA" w:eastAsia="fr-CA"/>
        </w:rPr>
        <w:t>International Standard Book Number (ISBN):</w:t>
      </w:r>
    </w:p>
    <w:p w14:paraId="6D318843" w14:textId="77777777" w:rsidR="00CF5FFE" w:rsidRPr="00836B63" w:rsidRDefault="00CF5FFE" w:rsidP="00CF5FFE">
      <w:pPr>
        <w:rPr>
          <w:lang w:val="en-CA" w:eastAsia="fr-CA"/>
        </w:rPr>
      </w:pPr>
      <w:r w:rsidRPr="00836B63">
        <w:rPr>
          <w:lang w:val="en-CA"/>
        </w:rPr>
        <w:t>978-0-660-70914-7</w:t>
      </w:r>
    </w:p>
    <w:p w14:paraId="204573D1" w14:textId="77777777" w:rsidR="00CF5FFE" w:rsidRPr="00836B63" w:rsidRDefault="00CF5FFE" w:rsidP="00CF5FFE">
      <w:pPr>
        <w:spacing w:after="0" w:line="280" w:lineRule="atLeast"/>
        <w:rPr>
          <w:rFonts w:asciiTheme="minorHAnsi" w:hAnsiTheme="minorHAnsi"/>
          <w:b/>
          <w:bCs/>
          <w:lang w:val="en-CA" w:eastAsia="fr-CA"/>
        </w:rPr>
      </w:pPr>
    </w:p>
    <w:p w14:paraId="2378EDF9" w14:textId="77777777" w:rsidR="00CF5FFE" w:rsidRPr="00836B63" w:rsidRDefault="00CF5FFE" w:rsidP="00CF5FFE">
      <w:pPr>
        <w:spacing w:after="0" w:line="280" w:lineRule="atLeast"/>
        <w:rPr>
          <w:lang w:val="en-CA"/>
        </w:rPr>
      </w:pPr>
      <w:r w:rsidRPr="00836B63">
        <w:rPr>
          <w:rFonts w:asciiTheme="minorHAnsi" w:hAnsiTheme="minorHAnsi"/>
          <w:b/>
          <w:bCs/>
          <w:lang w:val="en-CA" w:eastAsia="fr-CA"/>
        </w:rPr>
        <w:t>Related publications (registration number: POR 030-23):</w:t>
      </w:r>
      <w:r w:rsidRPr="00836B63">
        <w:rPr>
          <w:lang w:val="en-CA"/>
        </w:rPr>
        <w:t xml:space="preserve"> </w:t>
      </w:r>
    </w:p>
    <w:p w14:paraId="714E2326" w14:textId="77777777" w:rsidR="00CF5FFE" w:rsidRPr="00836B63" w:rsidRDefault="00CF5FFE" w:rsidP="00CF5FFE">
      <w:r w:rsidRPr="00836B63">
        <w:t xml:space="preserve">Catalogue </w:t>
      </w:r>
      <w:proofErr w:type="spellStart"/>
      <w:r w:rsidRPr="00836B63">
        <w:t>number</w:t>
      </w:r>
      <w:proofErr w:type="spellEnd"/>
      <w:r w:rsidRPr="00836B63">
        <w:t xml:space="preserve">: CP22-215/2024F-PDF </w:t>
      </w:r>
      <w:r w:rsidRPr="00836B63">
        <w:br/>
        <w:t>ISBN: 978-0-660-70915-4</w:t>
      </w:r>
    </w:p>
    <w:p w14:paraId="5DA763C3" w14:textId="77777777" w:rsidR="00CF5FFE" w:rsidRPr="00836B63" w:rsidRDefault="00CF5FFE" w:rsidP="00CF5FFE">
      <w:pPr>
        <w:spacing w:after="0" w:line="280" w:lineRule="atLeast"/>
        <w:jc w:val="both"/>
        <w:rPr>
          <w:rFonts w:asciiTheme="minorHAnsi" w:hAnsiTheme="minorHAnsi"/>
          <w:color w:val="000000"/>
          <w:lang w:eastAsia="fr-CA"/>
        </w:rPr>
      </w:pPr>
    </w:p>
    <w:p w14:paraId="79AB0C86" w14:textId="77777777" w:rsidR="00CF5FFE" w:rsidRPr="00836B63" w:rsidRDefault="00CF5FFE" w:rsidP="00CF5FFE">
      <w:pPr>
        <w:spacing w:after="0" w:line="280" w:lineRule="atLeast"/>
        <w:jc w:val="both"/>
        <w:rPr>
          <w:rFonts w:asciiTheme="minorHAnsi" w:hAnsiTheme="minorHAnsi"/>
          <w:color w:val="000000"/>
          <w:lang w:eastAsia="fr-CA"/>
        </w:rPr>
      </w:pPr>
    </w:p>
    <w:p w14:paraId="320C64F8" w14:textId="77777777" w:rsidR="00CF5FFE" w:rsidRPr="00836B63" w:rsidRDefault="00CF5FFE" w:rsidP="00CF5FFE">
      <w:pPr>
        <w:spacing w:after="0" w:line="280" w:lineRule="atLeast"/>
        <w:jc w:val="both"/>
        <w:rPr>
          <w:rFonts w:asciiTheme="minorHAnsi" w:hAnsiTheme="minorHAnsi"/>
          <w:color w:val="000000"/>
          <w:lang w:eastAsia="fr-CA"/>
        </w:rPr>
      </w:pPr>
    </w:p>
    <w:p w14:paraId="208A5457" w14:textId="77777777" w:rsidR="00CF5FFE" w:rsidRPr="00836B63" w:rsidRDefault="00CF5FFE" w:rsidP="00CF5FFE">
      <w:pPr>
        <w:pStyle w:val="3Subtitle"/>
        <w:spacing w:line="0" w:lineRule="atLeast"/>
        <w:contextualSpacing/>
        <w:rPr>
          <w:lang w:val="en-CA"/>
        </w:rPr>
      </w:pPr>
      <w:r w:rsidRPr="00836B63">
        <w:rPr>
          <w:rFonts w:asciiTheme="minorHAnsi" w:hAnsiTheme="minorHAnsi" w:cs="Times New Roman"/>
          <w:sz w:val="22"/>
          <w:szCs w:val="22"/>
          <w:lang w:val="en-CA"/>
        </w:rPr>
        <w:t>© His Majesty the King in Right of Canada, as represented by the Minister of Immigration, Refugees and Citizenship Canada, 202</w:t>
      </w:r>
      <w:r w:rsidRPr="00836B63">
        <w:rPr>
          <w:rFonts w:asciiTheme="minorHAnsi" w:hAnsiTheme="minorHAnsi"/>
          <w:noProof/>
          <w:lang w:val="en-US" w:eastAsia="en-US"/>
        </w:rPr>
        <mc:AlternateContent>
          <mc:Choice Requires="wps">
            <w:drawing>
              <wp:anchor distT="0" distB="0" distL="114300" distR="114300" simplePos="0" relativeHeight="251659264" behindDoc="1" locked="0" layoutInCell="1" allowOverlap="1" wp14:anchorId="6A6EF9CC" wp14:editId="3E71EA2A">
                <wp:simplePos x="0" y="0"/>
                <wp:positionH relativeFrom="column">
                  <wp:posOffset>0</wp:posOffset>
                </wp:positionH>
                <wp:positionV relativeFrom="paragraph">
                  <wp:posOffset>1421130</wp:posOffset>
                </wp:positionV>
                <wp:extent cx="2565400" cy="1956435"/>
                <wp:effectExtent l="0" t="1905" r="0" b="381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0" cy="1956435"/>
                        </a:xfrm>
                        <a:prstGeom prst="rect">
                          <a:avLst/>
                        </a:prstGeom>
                        <a:solidFill>
                          <a:srgbClr val="FFFFFF"/>
                        </a:solidFill>
                        <a:ln>
                          <a:noFill/>
                        </a:ln>
                        <a:extLst>
                          <a:ext uri="{91240B29-F687-4F45-9708-019B960494DF}">
                            <a14:hiddenLine xmlns:a14="http://schemas.microsoft.com/office/drawing/2010/main" w="9525">
                              <a:solidFill>
                                <a:srgbClr val="D8D8D8"/>
                              </a:solidFill>
                              <a:miter lim="800000"/>
                              <a:headEnd/>
                              <a:tailEnd/>
                            </a14:hiddenLine>
                          </a:ext>
                        </a:extLst>
                      </wps:spPr>
                      <wps:txbx>
                        <w:txbxContent>
                          <w:p w14:paraId="453834CB" w14:textId="77777777" w:rsidR="00CF5FFE" w:rsidRPr="00B725AC" w:rsidRDefault="00CF5FFE" w:rsidP="00CF5FFE">
                            <w:pPr>
                              <w:spacing w:after="0"/>
                              <w:rPr>
                                <w:color w:val="D9D9D9"/>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rect w14:anchorId="6A6EF9CC" id="Rectangle 13" o:spid="_x0000_s1026" style="position:absolute;margin-left:0;margin-top:111.9pt;width:202pt;height:154.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" stroked="f" strokecolor="#d8d8d8">
                <v:textbox style="mso-fit-shape-to-text:t">
                  <w:txbxContent>
                    <w:p w14:paraId="453834CB" w14:textId="77777777" w:rsidR="00CF5FFE" w:rsidRPr="00B725AC" w:rsidRDefault="00CF5FFE" w:rsidP="00CF5FFE">
                      <w:pPr>
                        <w:spacing w:after="0"/>
                        <w:rPr>
                          <w:color w:val="D9D9D9"/>
                        </w:rPr>
                      </w:pPr>
                    </w:p>
                  </w:txbxContent>
                </v:textbox>
              </v:rect>
            </w:pict>
          </mc:Fallback>
        </mc:AlternateContent>
      </w:r>
      <w:r w:rsidRPr="00836B63">
        <w:rPr>
          <w:rFonts w:asciiTheme="minorHAnsi" w:hAnsiTheme="minorHAnsi" w:cs="Times New Roman"/>
          <w:sz w:val="22"/>
          <w:szCs w:val="22"/>
          <w:lang w:val="en-CA"/>
        </w:rPr>
        <w:t>4</w:t>
      </w:r>
      <w:r w:rsidRPr="00836B63">
        <w:rPr>
          <w:lang w:val="en-CA"/>
        </w:rPr>
        <w:t xml:space="preserve"> </w:t>
      </w:r>
    </w:p>
    <w:p w14:paraId="75D243B3" w14:textId="77777777" w:rsidR="00CF5FFE" w:rsidRPr="00836B63" w:rsidRDefault="00CF5FFE" w:rsidP="00CF5FFE">
      <w:pPr>
        <w:spacing w:after="0"/>
        <w:rPr>
          <w:lang w:val="en-CA"/>
        </w:rPr>
      </w:pPr>
    </w:p>
    <w:p w14:paraId="1E7C2FC7" w14:textId="77777777" w:rsidR="00CF5FFE" w:rsidRPr="00836B63" w:rsidRDefault="00CF5FFE" w:rsidP="00CF5FFE">
      <w:pPr>
        <w:spacing w:after="0"/>
        <w:rPr>
          <w:lang w:val="en-CA"/>
        </w:rPr>
      </w:pPr>
    </w:p>
    <w:p w14:paraId="1D41A19D" w14:textId="77777777" w:rsidR="00CF5FFE" w:rsidRPr="00836B63" w:rsidRDefault="00CF5FFE" w:rsidP="00CF5FFE">
      <w:pPr>
        <w:pStyle w:val="Heading1"/>
        <w:rPr>
          <w:lang w:val="en-CA"/>
        </w:rPr>
      </w:pPr>
      <w:bookmarkStart w:id="0" w:name="_Toc503266520"/>
      <w:bookmarkStart w:id="1" w:name="_Toc503266565"/>
      <w:bookmarkStart w:id="2" w:name="_Toc503272208"/>
      <w:bookmarkStart w:id="3" w:name="_Toc509836471"/>
      <w:bookmarkStart w:id="4" w:name="_Toc157678864"/>
      <w:r w:rsidRPr="00836B63">
        <w:rPr>
          <w:lang w:val="en-CA"/>
        </w:rPr>
        <w:lastRenderedPageBreak/>
        <w:t>1. Executive Summary</w:t>
      </w:r>
      <w:bookmarkEnd w:id="0"/>
      <w:bookmarkEnd w:id="1"/>
      <w:bookmarkEnd w:id="2"/>
      <w:bookmarkEnd w:id="3"/>
      <w:bookmarkEnd w:id="4"/>
    </w:p>
    <w:p w14:paraId="79E1BFF9"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 xml:space="preserve">Leger is pleased to present </w:t>
      </w:r>
      <w:bookmarkStart w:id="5" w:name="_Hlk52268065"/>
      <w:r w:rsidRPr="00836B63">
        <w:rPr>
          <w:rFonts w:asciiTheme="minorHAnsi" w:eastAsia="Times New Roman" w:hAnsiTheme="minorHAnsi" w:cstheme="minorHAnsi"/>
          <w:lang w:val="en-CA"/>
        </w:rPr>
        <w:t>The Privy Council Office</w:t>
      </w:r>
      <w:bookmarkEnd w:id="5"/>
      <w:r w:rsidRPr="00836B63">
        <w:rPr>
          <w:rFonts w:asciiTheme="minorHAnsi" w:eastAsia="Times New Roman" w:hAnsiTheme="minorHAnsi" w:cstheme="minorHAnsi"/>
          <w:lang w:val="en-CA"/>
        </w:rPr>
        <w:t xml:space="preserve"> of Canada, as well as the Government of Canada, with this technical report outlining the methodology employed in the study to comprehend the evolving beliefs, attitudes, and behaviors of Canadians concerning public health.</w:t>
      </w:r>
    </w:p>
    <w:p w14:paraId="648EBFA5"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This report was prepared by Leger who was contracted by The Privy Council Office (contract number 35035-23-0995 awarded August 10th, 2023)</w:t>
      </w:r>
      <w:bookmarkStart w:id="6" w:name="_Toc494979132"/>
      <w:bookmarkStart w:id="7" w:name="_Toc503272209"/>
      <w:bookmarkStart w:id="8" w:name="_Toc509836472"/>
      <w:r w:rsidRPr="00836B63">
        <w:rPr>
          <w:rFonts w:asciiTheme="minorHAnsi" w:eastAsia="Times New Roman" w:hAnsiTheme="minorHAnsi" w:cstheme="minorHAnsi"/>
          <w:lang w:val="en-CA"/>
        </w:rPr>
        <w:t>. This contract has a value of $88,242.00 (excluding HST).</w:t>
      </w:r>
    </w:p>
    <w:p w14:paraId="535B1773" w14:textId="77777777" w:rsidR="00CF5FFE" w:rsidRPr="00836B63" w:rsidRDefault="00CF5FFE" w:rsidP="00CF5FFE">
      <w:pPr>
        <w:pStyle w:val="Heading2"/>
        <w:numPr>
          <w:ilvl w:val="1"/>
          <w:numId w:val="1"/>
        </w:numPr>
        <w:tabs>
          <w:tab w:val="num" w:pos="360"/>
        </w:tabs>
        <w:ind w:left="0" w:firstLine="0"/>
        <w:rPr>
          <w:lang w:val="en-CA"/>
        </w:rPr>
      </w:pPr>
      <w:bookmarkStart w:id="9" w:name="_Toc157678865"/>
      <w:r w:rsidRPr="00836B63">
        <w:rPr>
          <w:lang w:val="en-CA"/>
        </w:rPr>
        <w:t>Background, Purpose and Objectives</w:t>
      </w:r>
      <w:bookmarkEnd w:id="6"/>
      <w:bookmarkEnd w:id="7"/>
      <w:bookmarkEnd w:id="8"/>
      <w:r w:rsidRPr="00836B63">
        <w:rPr>
          <w:lang w:val="en-CA"/>
        </w:rPr>
        <w:t>, Methodology</w:t>
      </w:r>
      <w:bookmarkEnd w:id="9"/>
      <w:r w:rsidRPr="00836B63">
        <w:rPr>
          <w:lang w:val="en-CA"/>
        </w:rPr>
        <w:t xml:space="preserve"> </w:t>
      </w:r>
    </w:p>
    <w:p w14:paraId="689F6FF1" w14:textId="77777777" w:rsidR="00CF5FFE" w:rsidRPr="00836B63" w:rsidRDefault="00CF5FFE" w:rsidP="00CF5FFE">
      <w:pPr>
        <w:pStyle w:val="Heading2"/>
        <w:rPr>
          <w:lang w:val="en-CA"/>
        </w:rPr>
      </w:pPr>
      <w:bookmarkStart w:id="10" w:name="_Toc157678866"/>
      <w:r w:rsidRPr="00836B63">
        <w:rPr>
          <w:lang w:val="en-CA"/>
        </w:rPr>
        <w:t>Background</w:t>
      </w:r>
      <w:bookmarkEnd w:id="10"/>
    </w:p>
    <w:p w14:paraId="4796503C"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In partnership with the Public Health Agency of Canada (PHAC), PCO requires ongoing quantitative data collection and analysis to maintain a real-time understanding of Canadians’ evolving beliefs, attitudes, and behaviours relating to public health.</w:t>
      </w:r>
    </w:p>
    <w:p w14:paraId="6C90E5E9"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 xml:space="preserve">Outlined in the 2023-2024 budget, the federal government is committed to supporting the health of those living in Canada, along with the health care system, across the provinces and territories to promote health, prevent diseases, and enable better delivery of programs and services. </w:t>
      </w:r>
    </w:p>
    <w:p w14:paraId="0DD10CDD" w14:textId="77777777" w:rsidR="00CF5FFE" w:rsidRPr="00836B63" w:rsidRDefault="00CF5FFE" w:rsidP="00CF5FFE">
      <w:pPr>
        <w:widowControl w:val="0"/>
        <w:spacing w:after="24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 xml:space="preserve">In continued partnership with PHAC, the IIU proposed to launch a series of 3 population-based research surveys to examine a range of topics central to the Government of Canada’s health priorities. The study objective was to offer important tracking of changes in the national health context over the fall and winter, establish baseline data for new and emerging public health issues, and analyze key factors predicting health outcomes and differences in those outcomes across different groups in the population, as well as track changes over. </w:t>
      </w:r>
    </w:p>
    <w:p w14:paraId="27E73F72" w14:textId="77777777" w:rsidR="00CF5FFE" w:rsidRPr="00836B63" w:rsidRDefault="00CF5FFE" w:rsidP="00CF5FFE">
      <w:pPr>
        <w:pStyle w:val="Heading2"/>
        <w:jc w:val="both"/>
        <w:rPr>
          <w:lang w:val="en-CA"/>
        </w:rPr>
      </w:pPr>
      <w:bookmarkStart w:id="11" w:name="_Toc157678867"/>
      <w:r w:rsidRPr="00836B63">
        <w:rPr>
          <w:lang w:val="en-CA"/>
        </w:rPr>
        <w:t>Purpose and Objectives</w:t>
      </w:r>
      <w:bookmarkEnd w:id="11"/>
    </w:p>
    <w:p w14:paraId="6D79C4FD" w14:textId="77777777" w:rsidR="00CF5FFE" w:rsidRPr="00836B63" w:rsidRDefault="00CF5FFE" w:rsidP="00CF5FFE">
      <w:pPr>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This survey objective was to offer a flexible infrastructure to generate rapid insights on emerging topics of timely value to PHAC, as they arise, in addition to knowledge translation products, and recommendations on key priority areas. Ongoing access to this platform and associated rapid advice will continue to support PHAC as a world leading, data-driven public health organization.</w:t>
      </w:r>
    </w:p>
    <w:p w14:paraId="7387102C" w14:textId="77777777" w:rsidR="00CF5FFE" w:rsidRPr="00836B63" w:rsidRDefault="00CF5FFE" w:rsidP="00CF5FFE">
      <w:pPr>
        <w:spacing w:before="240" w:after="160"/>
        <w:jc w:val="both"/>
        <w:rPr>
          <w:rFonts w:asciiTheme="minorHAnsi" w:eastAsia="Times New Roman" w:hAnsiTheme="minorHAnsi" w:cstheme="minorHAnsi"/>
          <w:strike/>
          <w:lang w:val="en-CA"/>
        </w:rPr>
      </w:pPr>
      <w:r w:rsidRPr="00836B63">
        <w:rPr>
          <w:rFonts w:asciiTheme="minorHAnsi" w:eastAsia="Times New Roman" w:hAnsiTheme="minorHAnsi" w:cstheme="minorHAnsi"/>
          <w:lang w:val="en-CA"/>
        </w:rPr>
        <w:t xml:space="preserve">Insights garnered from this quantitative study will enable the Government of Canada to further develop and refine policies, program implementation, and communication strategies to achieve its goals to improve Canadian health and well-being. </w:t>
      </w:r>
    </w:p>
    <w:p w14:paraId="1F846857" w14:textId="77777777" w:rsidR="00CF5FFE" w:rsidRPr="00836B63" w:rsidRDefault="00CF5FFE" w:rsidP="00CF5FFE">
      <w:pPr>
        <w:pStyle w:val="Heading2"/>
        <w:numPr>
          <w:ilvl w:val="1"/>
          <w:numId w:val="1"/>
        </w:numPr>
        <w:tabs>
          <w:tab w:val="num" w:pos="360"/>
        </w:tabs>
        <w:ind w:left="0" w:firstLine="0"/>
        <w:rPr>
          <w:lang w:val="en-CA"/>
        </w:rPr>
      </w:pPr>
      <w:bookmarkStart w:id="12" w:name="_Toc36538073"/>
      <w:bookmarkStart w:id="13" w:name="_Toc157678868"/>
      <w:r w:rsidRPr="00836B63">
        <w:rPr>
          <w:lang w:val="en-CA"/>
        </w:rPr>
        <w:t>Notes on The Interpretation of The Findings</w:t>
      </w:r>
      <w:bookmarkEnd w:id="12"/>
      <w:bookmarkEnd w:id="13"/>
      <w:r w:rsidRPr="00836B63">
        <w:rPr>
          <w:lang w:val="en-CA"/>
        </w:rPr>
        <w:t xml:space="preserve"> </w:t>
      </w:r>
    </w:p>
    <w:p w14:paraId="35A38AED"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 xml:space="preserve">The respondents were randomly selected from members of our panel (LEO) who were recruited using a probabilistic methodology.  While the Leo panel is meant to be representative of the Canadian population, </w:t>
      </w:r>
      <w:r w:rsidRPr="00836B63">
        <w:rPr>
          <w:rFonts w:asciiTheme="minorHAnsi" w:eastAsia="Times New Roman" w:hAnsiTheme="minorHAnsi" w:cstheme="minorHAnsi"/>
          <w:lang w:val="en-CA"/>
        </w:rPr>
        <w:lastRenderedPageBreak/>
        <w:t>it is not probabilistic; the results cannot be inferred to the general population of Canada as respondents are selected among those who have volunteered to participate/registered to participate in online surveys.</w:t>
      </w:r>
    </w:p>
    <w:p w14:paraId="5E157E36"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 xml:space="preserve">Respondents were randomly selected among LEO panellists who were recruited using a probabilistic methodology, ensuring that the sample closely resembles the actual population of Canada. The margins of sampling error cannot be calculated for surveys using internet panel. However, for comparative purposes, the margin of error for a probabilistic sample of 2,000 Canadians is ±2.19%, 19 times out of 20. </w:t>
      </w:r>
    </w:p>
    <w:p w14:paraId="7997CED5"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The data have been weighted to reflect the demographic composition of the target population. Detailed information about the weighting process is presented in annex A.1.</w:t>
      </w:r>
    </w:p>
    <w:p w14:paraId="4FE6ACD3" w14:textId="77777777" w:rsidR="00CF5FFE" w:rsidRPr="00836B63" w:rsidRDefault="00CF5FFE" w:rsidP="00CF5FFE">
      <w:pPr>
        <w:pStyle w:val="Heading2"/>
        <w:rPr>
          <w:caps/>
          <w:lang w:val="en-CA"/>
        </w:rPr>
      </w:pPr>
      <w:bookmarkStart w:id="14" w:name="_Toc36538074"/>
      <w:bookmarkStart w:id="15" w:name="_Toc157678869"/>
      <w:r w:rsidRPr="00836B63">
        <w:rPr>
          <w:lang w:val="en-CA"/>
        </w:rPr>
        <w:t xml:space="preserve">1.3 </w:t>
      </w:r>
      <w:r w:rsidRPr="00836B63">
        <w:rPr>
          <w:lang w:val="en-CA"/>
        </w:rPr>
        <w:tab/>
        <w:t>Declaration of Political Neutrality and Contact Information</w:t>
      </w:r>
      <w:bookmarkEnd w:id="14"/>
      <w:bookmarkEnd w:id="15"/>
    </w:p>
    <w:p w14:paraId="5F8106C6" w14:textId="77777777" w:rsidR="00CF5FFE" w:rsidRPr="00836B63" w:rsidRDefault="00CF5FFE" w:rsidP="00CF5FFE">
      <w:pPr>
        <w:jc w:val="both"/>
        <w:rPr>
          <w:lang w:val="en-CA"/>
        </w:rPr>
      </w:pPr>
      <w:r w:rsidRPr="00836B63">
        <w:rPr>
          <w:rFonts w:asciiTheme="minorHAnsi" w:eastAsia="Times New Roman" w:hAnsiTheme="minorHAnsi" w:cstheme="minorHAnsi"/>
          <w:lang w:val="en-CA"/>
        </w:rPr>
        <w:t>I hereby certify, as chief agent</w:t>
      </w:r>
      <w:r w:rsidRPr="00836B63">
        <w:rPr>
          <w:lang w:val="en-CA"/>
        </w:rPr>
        <w:t xml:space="preserve"> of Leger, that the deliverables are in full compliance with the neutrality requirements of the </w:t>
      </w:r>
      <w:hyperlink r:id="rId9">
        <w:r w:rsidRPr="00836B63">
          <w:rPr>
            <w:i/>
            <w:color w:val="7834BC"/>
            <w:u w:val="single"/>
            <w:shd w:val="clear" w:color="auto" w:fill="F9F9F9"/>
            <w:lang w:val="en-CA"/>
          </w:rPr>
          <w:t>Policy on Communications and Federal Identity</w:t>
        </w:r>
      </w:hyperlink>
      <w:r w:rsidRPr="00836B63">
        <w:rPr>
          <w:lang w:val="en-CA"/>
        </w:rPr>
        <w:t xml:space="preserve"> and the </w:t>
      </w:r>
      <w:hyperlink r:id="rId10">
        <w:r w:rsidRPr="00836B63">
          <w:rPr>
            <w:color w:val="7834BC"/>
            <w:u w:val="single"/>
            <w:shd w:val="clear" w:color="auto" w:fill="F9F9F9"/>
            <w:lang w:val="en-CA"/>
          </w:rPr>
          <w:t>Directive on the Management of Communications—Appendix C</w:t>
        </w:r>
      </w:hyperlink>
      <w:r w:rsidRPr="00836B63">
        <w:rPr>
          <w:lang w:val="en-CA"/>
        </w:rPr>
        <w:t xml:space="preserve"> (Appendix C: Mandatory Procedures for Public Opinion Research).</w:t>
      </w:r>
    </w:p>
    <w:p w14:paraId="73EDB7E3" w14:textId="77777777" w:rsidR="00CF5FFE" w:rsidRPr="00836B63" w:rsidRDefault="00CF5FFE" w:rsidP="00CF5FFE">
      <w:pPr>
        <w:jc w:val="both"/>
        <w:rPr>
          <w:lang w:val="en-CA"/>
        </w:rPr>
      </w:pPr>
      <w:r w:rsidRPr="00836B63">
        <w:rPr>
          <w:lang w:val="en-CA"/>
        </w:rPr>
        <w:t>Specifically, the deliverables do not include information on electoral voting intentions, political party preferences, party positions, or the assessment of the performance of a political party or its leaders.</w:t>
      </w:r>
    </w:p>
    <w:p w14:paraId="01B47721" w14:textId="77777777" w:rsidR="00CF5FFE" w:rsidRPr="00836B63" w:rsidRDefault="00CF5FFE" w:rsidP="00CF5FFE">
      <w:pPr>
        <w:jc w:val="both"/>
        <w:rPr>
          <w:noProof/>
        </w:rPr>
      </w:pPr>
      <w:proofErr w:type="spellStart"/>
      <w:r w:rsidRPr="00836B63">
        <w:t>Signed</w:t>
      </w:r>
      <w:proofErr w:type="spellEnd"/>
      <w:r w:rsidRPr="00836B63">
        <w:t xml:space="preserve"> by: </w:t>
      </w:r>
    </w:p>
    <w:p w14:paraId="034AE39D" w14:textId="77777777" w:rsidR="00CF5FFE" w:rsidRPr="00836B63" w:rsidRDefault="00CF5FFE" w:rsidP="00CF5FFE">
      <w:pPr>
        <w:spacing w:after="0" w:line="240" w:lineRule="auto"/>
        <w:jc w:val="both"/>
        <w:rPr>
          <w:noProof/>
        </w:rPr>
      </w:pPr>
      <w:r w:rsidRPr="00836B63">
        <w:rPr>
          <w:noProof/>
          <w:lang w:val="en-US"/>
        </w:rPr>
        <w:drawing>
          <wp:inline distT="0" distB="0" distL="0" distR="0" wp14:anchorId="33312C0B" wp14:editId="00737339">
            <wp:extent cx="1487804" cy="523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499888" cy="528130"/>
                    </a:xfrm>
                    <a:prstGeom prst="rect">
                      <a:avLst/>
                    </a:prstGeom>
                    <a:noFill/>
                    <a:ln>
                      <a:noFill/>
                    </a:ln>
                  </pic:spPr>
                </pic:pic>
              </a:graphicData>
            </a:graphic>
          </wp:inline>
        </w:drawing>
      </w:r>
    </w:p>
    <w:p w14:paraId="6B0AC178" w14:textId="77777777" w:rsidR="00CF5FFE" w:rsidRPr="00836B63" w:rsidRDefault="00CF5FFE" w:rsidP="00CF5FFE">
      <w:pPr>
        <w:spacing w:after="0" w:line="240" w:lineRule="auto"/>
        <w:jc w:val="both"/>
        <w:rPr>
          <w:noProof/>
        </w:rPr>
      </w:pPr>
      <w:r w:rsidRPr="00836B63">
        <w:t>Christian Bourque</w:t>
      </w:r>
    </w:p>
    <w:p w14:paraId="16AD1BB7" w14:textId="77777777" w:rsidR="00CF5FFE" w:rsidRPr="00836B63" w:rsidRDefault="00CF5FFE" w:rsidP="00CF5FFE">
      <w:pPr>
        <w:spacing w:after="0" w:line="240" w:lineRule="auto"/>
        <w:jc w:val="both"/>
        <w:rPr>
          <w:noProof/>
        </w:rPr>
      </w:pPr>
      <w:proofErr w:type="spellStart"/>
      <w:r w:rsidRPr="00836B63">
        <w:t>Executive</w:t>
      </w:r>
      <w:proofErr w:type="spellEnd"/>
      <w:r w:rsidRPr="00836B63">
        <w:t xml:space="preserve"> Vice </w:t>
      </w:r>
      <w:proofErr w:type="spellStart"/>
      <w:r w:rsidRPr="00836B63">
        <w:t>President</w:t>
      </w:r>
      <w:proofErr w:type="spellEnd"/>
      <w:r w:rsidRPr="00836B63">
        <w:t xml:space="preserve"> and Associate</w:t>
      </w:r>
    </w:p>
    <w:p w14:paraId="0A0D08E3" w14:textId="77777777" w:rsidR="00CF5FFE" w:rsidRPr="00836B63" w:rsidRDefault="00CF5FFE" w:rsidP="00CF5FFE">
      <w:pPr>
        <w:spacing w:after="0" w:line="240" w:lineRule="auto"/>
        <w:jc w:val="both"/>
        <w:rPr>
          <w:noProof/>
        </w:rPr>
      </w:pPr>
      <w:r w:rsidRPr="00836B63">
        <w:t>Leger</w:t>
      </w:r>
    </w:p>
    <w:p w14:paraId="311A91EE" w14:textId="77777777" w:rsidR="00CF5FFE" w:rsidRPr="00836B63" w:rsidRDefault="00CF5FFE" w:rsidP="00CF5FFE">
      <w:pPr>
        <w:spacing w:after="0" w:line="240" w:lineRule="auto"/>
        <w:jc w:val="both"/>
        <w:rPr>
          <w:noProof/>
        </w:rPr>
      </w:pPr>
      <w:r w:rsidRPr="00836B63">
        <w:t>507 Place d’Armes, Suite 700</w:t>
      </w:r>
    </w:p>
    <w:p w14:paraId="635D2A68" w14:textId="77777777" w:rsidR="00CF5FFE" w:rsidRPr="00836B63" w:rsidRDefault="00CF5FFE" w:rsidP="00CF5FFE">
      <w:pPr>
        <w:spacing w:after="0" w:line="240" w:lineRule="auto"/>
        <w:jc w:val="both"/>
        <w:rPr>
          <w:noProof/>
        </w:rPr>
      </w:pPr>
      <w:r w:rsidRPr="00836B63">
        <w:t xml:space="preserve">Montréal, </w:t>
      </w:r>
      <w:proofErr w:type="spellStart"/>
      <w:r w:rsidRPr="00836B63">
        <w:t>Quebec</w:t>
      </w:r>
      <w:proofErr w:type="spellEnd"/>
    </w:p>
    <w:p w14:paraId="0830B48C" w14:textId="77777777" w:rsidR="00CF5FFE" w:rsidRPr="00836B63" w:rsidRDefault="00CF5FFE" w:rsidP="00CF5FFE">
      <w:pPr>
        <w:spacing w:after="0" w:line="240" w:lineRule="auto"/>
        <w:jc w:val="both"/>
      </w:pPr>
      <w:r w:rsidRPr="00836B63">
        <w:t>H2Y 2W8</w:t>
      </w:r>
    </w:p>
    <w:p w14:paraId="4F8B0D64" w14:textId="77777777" w:rsidR="00CF5FFE" w:rsidRPr="00836B63" w:rsidRDefault="008C0E5E" w:rsidP="00CF5FFE">
      <w:pPr>
        <w:spacing w:after="0" w:line="240" w:lineRule="auto"/>
        <w:jc w:val="both"/>
      </w:pPr>
      <w:hyperlink r:id="rId12" w:history="1">
        <w:r w:rsidR="00CF5FFE" w:rsidRPr="00836B63">
          <w:rPr>
            <w:rStyle w:val="Hyperlink"/>
          </w:rPr>
          <w:t>cbourque@leger360.com</w:t>
        </w:r>
      </w:hyperlink>
    </w:p>
    <w:p w14:paraId="248D8774" w14:textId="77777777" w:rsidR="00CF5FFE" w:rsidRPr="00836B63" w:rsidRDefault="00CF5FFE" w:rsidP="00CF5FFE">
      <w:pPr>
        <w:autoSpaceDE w:val="0"/>
        <w:autoSpaceDN w:val="0"/>
        <w:adjustRightInd w:val="0"/>
        <w:spacing w:after="216" w:line="270" w:lineRule="atLeast"/>
        <w:contextualSpacing/>
        <w:jc w:val="both"/>
        <w:rPr>
          <w:rFonts w:asciiTheme="minorHAnsi" w:eastAsia="Times New Roman" w:hAnsiTheme="minorHAnsi" w:cstheme="minorHAnsi"/>
          <w:sz w:val="24"/>
          <w:szCs w:val="24"/>
        </w:rPr>
      </w:pPr>
    </w:p>
    <w:p w14:paraId="6492239D" w14:textId="77777777" w:rsidR="00CF5FFE" w:rsidRPr="00836B63" w:rsidRDefault="00CF5FFE" w:rsidP="00CF5FFE">
      <w:pPr>
        <w:spacing w:after="0" w:line="240" w:lineRule="auto"/>
        <w:rPr>
          <w:rFonts w:ascii="Cambria" w:eastAsia="Times New Roman" w:hAnsi="Cambria"/>
          <w:b/>
          <w:bCs/>
          <w:i/>
          <w:iCs/>
          <w:sz w:val="28"/>
          <w:szCs w:val="28"/>
        </w:rPr>
      </w:pPr>
      <w:bookmarkStart w:id="16" w:name="_Toc157678870"/>
      <w:bookmarkStart w:id="17" w:name="_Toc494979133"/>
      <w:bookmarkStart w:id="18" w:name="_Toc503272210"/>
      <w:bookmarkStart w:id="19" w:name="_Toc509836473"/>
      <w:r w:rsidRPr="00836B63">
        <w:br w:type="page"/>
      </w:r>
    </w:p>
    <w:p w14:paraId="556D19E5" w14:textId="77777777" w:rsidR="00CF5FFE" w:rsidRPr="00836B63" w:rsidRDefault="00CF5FFE" w:rsidP="00CF5FFE">
      <w:pPr>
        <w:pStyle w:val="Heading2"/>
      </w:pPr>
      <w:r w:rsidRPr="00836B63">
        <w:lastRenderedPageBreak/>
        <w:t>1.4</w:t>
      </w:r>
      <w:r w:rsidRPr="00836B63">
        <w:tab/>
      </w:r>
      <w:proofErr w:type="spellStart"/>
      <w:r w:rsidRPr="00836B63">
        <w:t>Methodology</w:t>
      </w:r>
      <w:bookmarkEnd w:id="16"/>
      <w:proofErr w:type="spellEnd"/>
      <w:r w:rsidRPr="00836B63">
        <w:t xml:space="preserve"> </w:t>
      </w:r>
      <w:bookmarkEnd w:id="17"/>
      <w:bookmarkEnd w:id="18"/>
      <w:bookmarkEnd w:id="19"/>
    </w:p>
    <w:p w14:paraId="55875A8E"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Data was collected online through three repeated cross-sectional surveys of nationally representative samples of adult Canadians (18 years of age and older). The sample included Canadian citizens as well as permanent residents.  35% of the survey content remained the same across all waves.</w:t>
      </w:r>
    </w:p>
    <w:p w14:paraId="44A9D6CC" w14:textId="77777777" w:rsidR="00CF5FFE" w:rsidRPr="00836B63" w:rsidRDefault="00CF5FFE" w:rsidP="00CF5FFE">
      <w:pPr>
        <w:spacing w:after="0" w:line="240" w:lineRule="auto"/>
        <w:jc w:val="both"/>
        <w:rPr>
          <w:rFonts w:asciiTheme="minorHAnsi" w:eastAsia="Arial" w:hAnsiTheme="minorHAnsi" w:cs="Arial"/>
          <w:color w:val="000000"/>
          <w:lang w:val="en-CA" w:eastAsia="fr-CA"/>
        </w:rPr>
      </w:pPr>
      <w:r w:rsidRPr="00836B63">
        <w:rPr>
          <w:rFonts w:asciiTheme="minorHAnsi" w:eastAsia="Arial" w:hAnsiTheme="minorHAnsi" w:cs="Arial"/>
          <w:color w:val="000000"/>
          <w:lang w:val="en-CA" w:eastAsia="fr-CA"/>
        </w:rPr>
        <w:t xml:space="preserve">The targeted sample consisted of adults living in Canada 18 years of age and older, aimed for appropriate representation of gender, </w:t>
      </w:r>
      <w:proofErr w:type="gramStart"/>
      <w:r w:rsidRPr="00836B63">
        <w:rPr>
          <w:rFonts w:asciiTheme="minorHAnsi" w:eastAsia="Arial" w:hAnsiTheme="minorHAnsi" w:cs="Arial"/>
          <w:color w:val="000000"/>
          <w:lang w:val="en-CA" w:eastAsia="fr-CA"/>
        </w:rPr>
        <w:t>age</w:t>
      </w:r>
      <w:proofErr w:type="gramEnd"/>
      <w:r w:rsidRPr="00836B63">
        <w:rPr>
          <w:rFonts w:asciiTheme="minorHAnsi" w:eastAsia="Arial" w:hAnsiTheme="minorHAnsi" w:cs="Arial"/>
          <w:color w:val="000000"/>
          <w:lang w:val="en-CA" w:eastAsia="fr-CA"/>
        </w:rPr>
        <w:t xml:space="preserve"> and regional split, using data from Census 2021. </w:t>
      </w:r>
    </w:p>
    <w:p w14:paraId="42A22873" w14:textId="77777777" w:rsidR="00CF5FFE" w:rsidRPr="00836B63" w:rsidRDefault="00CF5FFE" w:rsidP="00CF5FFE">
      <w:pPr>
        <w:spacing w:after="0" w:line="240" w:lineRule="auto"/>
        <w:jc w:val="both"/>
        <w:rPr>
          <w:rFonts w:asciiTheme="minorHAnsi" w:eastAsia="Arial" w:hAnsiTheme="minorHAnsi" w:cs="Arial"/>
          <w:color w:val="000000"/>
          <w:lang w:val="en-CA" w:eastAsia="fr-CA"/>
        </w:rPr>
      </w:pPr>
    </w:p>
    <w:p w14:paraId="61F6A389" w14:textId="77777777" w:rsidR="00CF5FFE" w:rsidRPr="00836B63" w:rsidRDefault="00CF5FFE" w:rsidP="00CF5FFE">
      <w:pPr>
        <w:spacing w:after="0" w:line="240" w:lineRule="auto"/>
        <w:jc w:val="both"/>
        <w:rPr>
          <w:rFonts w:asciiTheme="minorHAnsi" w:eastAsia="Arial" w:hAnsiTheme="minorHAnsi" w:cs="Arial"/>
          <w:bCs/>
          <w:lang w:val="en-GB" w:eastAsia="fr-CA"/>
        </w:rPr>
      </w:pPr>
      <w:r w:rsidRPr="00836B63">
        <w:rPr>
          <w:rFonts w:asciiTheme="minorHAnsi" w:eastAsia="Arial" w:hAnsiTheme="minorHAnsi" w:cs="Arial"/>
          <w:lang w:val="en-GB" w:eastAsia="fr-CA"/>
        </w:rPr>
        <w:t xml:space="preserve">The sample for the first wave consisted of 1,800 general population respondents with an oversample of respondents residing in the Atlantic and Prairies provinces (n=200). The sample for the second wave consisted of general population respondents (n=1,800) and an oversample of respondents from Northern regions (n=200). The sample for the third wave consisted of general population respondents (n=1,800) and an oversample of respondents </w:t>
      </w:r>
      <w:r>
        <w:rPr>
          <w:rFonts w:asciiTheme="minorHAnsi" w:eastAsia="Arial" w:hAnsiTheme="minorHAnsi" w:cs="Arial"/>
          <w:lang w:val="en-GB" w:eastAsia="fr-CA"/>
        </w:rPr>
        <w:t xml:space="preserve">living with a disability </w:t>
      </w:r>
      <w:r w:rsidRPr="00836B63">
        <w:rPr>
          <w:rFonts w:asciiTheme="minorHAnsi" w:eastAsia="Arial" w:hAnsiTheme="minorHAnsi" w:cs="Arial"/>
          <w:lang w:val="en-GB" w:eastAsia="fr-CA"/>
        </w:rPr>
        <w:t xml:space="preserve">(n=200). </w:t>
      </w:r>
    </w:p>
    <w:p w14:paraId="4DEC9DDA" w14:textId="77777777" w:rsidR="00CF5FFE" w:rsidRPr="00836B63" w:rsidRDefault="00CF5FFE" w:rsidP="00CF5FFE">
      <w:pPr>
        <w:spacing w:after="0" w:line="240" w:lineRule="auto"/>
        <w:jc w:val="both"/>
        <w:rPr>
          <w:rFonts w:asciiTheme="minorHAnsi" w:eastAsia="Arial" w:hAnsiTheme="minorHAnsi" w:cs="Arial"/>
          <w:bCs/>
          <w:lang w:val="en-GB" w:eastAsia="fr-CA"/>
        </w:rPr>
      </w:pPr>
    </w:p>
    <w:p w14:paraId="0970A14B" w14:textId="77777777" w:rsidR="00CF5FFE" w:rsidRPr="00836B63" w:rsidRDefault="00CF5FFE" w:rsidP="00CF5FFE">
      <w:pPr>
        <w:spacing w:after="0" w:line="240" w:lineRule="auto"/>
        <w:jc w:val="both"/>
        <w:rPr>
          <w:rFonts w:asciiTheme="minorHAnsi" w:eastAsia="Arial" w:hAnsiTheme="minorHAnsi" w:cs="Arial"/>
          <w:color w:val="000000"/>
          <w:lang w:val="en-CA" w:eastAsia="fr-CA"/>
        </w:rPr>
      </w:pPr>
      <w:r w:rsidRPr="00836B63">
        <w:rPr>
          <w:rFonts w:asciiTheme="minorHAnsi" w:eastAsia="Arial" w:hAnsiTheme="minorHAnsi" w:cs="Arial"/>
          <w:color w:val="000000"/>
          <w:lang w:val="en-CA" w:eastAsia="fr-CA"/>
        </w:rPr>
        <w:t xml:space="preserve">The respondents were randomly selected from members of our panel (LEO) who were recruited using a probabilistic methodology. </w:t>
      </w:r>
    </w:p>
    <w:p w14:paraId="40E87FB4" w14:textId="77777777" w:rsidR="00CF5FFE" w:rsidRPr="00836B63" w:rsidRDefault="00CF5FFE" w:rsidP="00CF5FFE">
      <w:pPr>
        <w:spacing w:after="0" w:line="240" w:lineRule="auto"/>
        <w:jc w:val="both"/>
        <w:rPr>
          <w:rFonts w:asciiTheme="minorHAnsi" w:eastAsia="Arial" w:hAnsiTheme="minorHAnsi" w:cs="Arial"/>
          <w:color w:val="000000"/>
          <w:sz w:val="24"/>
          <w:szCs w:val="24"/>
          <w:lang w:val="en-CA" w:eastAsia="fr-CA"/>
        </w:rPr>
      </w:pPr>
    </w:p>
    <w:p w14:paraId="327804D8" w14:textId="77777777" w:rsidR="00CF5FFE" w:rsidRPr="00836B63" w:rsidRDefault="00CF5FFE" w:rsidP="00CF5FFE">
      <w:pPr>
        <w:pStyle w:val="Heading2"/>
        <w:rPr>
          <w:lang w:val="en-CA"/>
        </w:rPr>
      </w:pPr>
      <w:bookmarkStart w:id="20" w:name="_Toc157678871"/>
      <w:r w:rsidRPr="00836B63">
        <w:rPr>
          <w:lang w:val="en-CA"/>
        </w:rPr>
        <w:t>1.5 Quotas</w:t>
      </w:r>
      <w:bookmarkEnd w:id="20"/>
    </w:p>
    <w:p w14:paraId="415E8DE3"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 xml:space="preserve">A series of quotas were implemented for this project. Quotas were cross-referenced by gender and age groups and were also imposed on the region of residence of respondents. The first quota is 50% men and 50% women for the gender sample. These gender quotas were also respected within the following age groups: 18-34, 35-54 and 55 and over. Those gender and age quotas had to be respected at the regional level. The Canadian regions were split as follows: </w:t>
      </w:r>
    </w:p>
    <w:p w14:paraId="637618E0" w14:textId="77777777" w:rsidR="00CF5FFE" w:rsidRPr="00836B63" w:rsidRDefault="00CF5FFE" w:rsidP="00CF5FFE">
      <w:pPr>
        <w:spacing w:after="0" w:line="240" w:lineRule="auto"/>
        <w:jc w:val="both"/>
        <w:rPr>
          <w:rFonts w:asciiTheme="minorHAnsi" w:eastAsia="Arial" w:hAnsiTheme="minorHAnsi" w:cs="Arial"/>
          <w:bCs/>
          <w:lang w:val="en-CA" w:eastAsia="fr-CA"/>
        </w:rPr>
      </w:pPr>
      <w:r w:rsidRPr="00836B63">
        <w:rPr>
          <w:rFonts w:asciiTheme="minorHAnsi" w:eastAsia="Arial" w:hAnsiTheme="minorHAnsi" w:cs="Arial"/>
          <w:bCs/>
          <w:lang w:val="en-CA" w:eastAsia="fr-CA"/>
        </w:rPr>
        <w:t>●</w:t>
      </w:r>
      <w:r w:rsidRPr="00836B63">
        <w:rPr>
          <w:rFonts w:asciiTheme="minorHAnsi" w:eastAsia="Arial" w:hAnsiTheme="minorHAnsi" w:cs="Arial"/>
          <w:bCs/>
          <w:lang w:val="en-CA" w:eastAsia="fr-CA"/>
        </w:rPr>
        <w:tab/>
        <w:t>Atlantic Canada (Newfoundland, Prince Edward Island, Nova Scotia, New Brunswick</w:t>
      </w:r>
      <w:proofErr w:type="gramStart"/>
      <w:r w:rsidRPr="00836B63">
        <w:rPr>
          <w:rFonts w:asciiTheme="minorHAnsi" w:eastAsia="Arial" w:hAnsiTheme="minorHAnsi" w:cs="Arial"/>
          <w:bCs/>
          <w:lang w:val="en-CA" w:eastAsia="fr-CA"/>
        </w:rPr>
        <w:t>);</w:t>
      </w:r>
      <w:proofErr w:type="gramEnd"/>
    </w:p>
    <w:p w14:paraId="44A53A4B" w14:textId="77777777" w:rsidR="00CF5FFE" w:rsidRPr="00836B63" w:rsidRDefault="00CF5FFE" w:rsidP="00CF5FFE">
      <w:pPr>
        <w:spacing w:after="0" w:line="240" w:lineRule="auto"/>
        <w:jc w:val="both"/>
        <w:rPr>
          <w:rFonts w:asciiTheme="minorHAnsi" w:eastAsia="Arial" w:hAnsiTheme="minorHAnsi" w:cs="Arial"/>
          <w:bCs/>
          <w:lang w:val="en-CA" w:eastAsia="fr-CA"/>
        </w:rPr>
      </w:pPr>
      <w:r w:rsidRPr="00836B63">
        <w:rPr>
          <w:rFonts w:asciiTheme="minorHAnsi" w:eastAsia="Arial" w:hAnsiTheme="minorHAnsi" w:cs="Arial"/>
          <w:bCs/>
          <w:lang w:val="en-CA" w:eastAsia="fr-CA"/>
        </w:rPr>
        <w:t>●</w:t>
      </w:r>
      <w:r w:rsidRPr="00836B63">
        <w:rPr>
          <w:rFonts w:asciiTheme="minorHAnsi" w:eastAsia="Arial" w:hAnsiTheme="minorHAnsi" w:cs="Arial"/>
          <w:bCs/>
          <w:lang w:val="en-CA" w:eastAsia="fr-CA"/>
        </w:rPr>
        <w:tab/>
      </w:r>
      <w:proofErr w:type="gramStart"/>
      <w:r w:rsidRPr="00836B63">
        <w:rPr>
          <w:rFonts w:asciiTheme="minorHAnsi" w:eastAsia="Arial" w:hAnsiTheme="minorHAnsi" w:cs="Arial"/>
          <w:bCs/>
          <w:lang w:val="en-CA" w:eastAsia="fr-CA"/>
        </w:rPr>
        <w:t>Quebec;</w:t>
      </w:r>
      <w:proofErr w:type="gramEnd"/>
    </w:p>
    <w:p w14:paraId="11BA1ED3" w14:textId="77777777" w:rsidR="00CF5FFE" w:rsidRPr="00836B63" w:rsidRDefault="00CF5FFE" w:rsidP="00CF5FFE">
      <w:pPr>
        <w:spacing w:after="0" w:line="240" w:lineRule="auto"/>
        <w:jc w:val="both"/>
        <w:rPr>
          <w:rFonts w:asciiTheme="minorHAnsi" w:eastAsia="Arial" w:hAnsiTheme="minorHAnsi" w:cs="Arial"/>
          <w:bCs/>
          <w:lang w:val="en-CA" w:eastAsia="fr-CA"/>
        </w:rPr>
      </w:pPr>
      <w:r w:rsidRPr="00836B63">
        <w:rPr>
          <w:rFonts w:asciiTheme="minorHAnsi" w:eastAsia="Arial" w:hAnsiTheme="minorHAnsi" w:cs="Arial"/>
          <w:bCs/>
          <w:lang w:val="en-CA" w:eastAsia="fr-CA"/>
        </w:rPr>
        <w:t>●</w:t>
      </w:r>
      <w:r w:rsidRPr="00836B63">
        <w:rPr>
          <w:rFonts w:asciiTheme="minorHAnsi" w:eastAsia="Arial" w:hAnsiTheme="minorHAnsi" w:cs="Arial"/>
          <w:bCs/>
          <w:lang w:val="en-CA" w:eastAsia="fr-CA"/>
        </w:rPr>
        <w:tab/>
      </w:r>
      <w:proofErr w:type="gramStart"/>
      <w:r w:rsidRPr="00836B63">
        <w:rPr>
          <w:rFonts w:asciiTheme="minorHAnsi" w:eastAsia="Arial" w:hAnsiTheme="minorHAnsi" w:cs="Arial"/>
          <w:bCs/>
          <w:lang w:val="en-CA" w:eastAsia="fr-CA"/>
        </w:rPr>
        <w:t>Ontario;</w:t>
      </w:r>
      <w:proofErr w:type="gramEnd"/>
    </w:p>
    <w:p w14:paraId="2C3D3462" w14:textId="77777777" w:rsidR="00CF5FFE" w:rsidRPr="00836B63" w:rsidRDefault="00CF5FFE" w:rsidP="00CF5FFE">
      <w:pPr>
        <w:spacing w:after="0" w:line="240" w:lineRule="auto"/>
        <w:jc w:val="both"/>
        <w:rPr>
          <w:rFonts w:asciiTheme="minorHAnsi" w:eastAsia="Arial" w:hAnsiTheme="minorHAnsi" w:cs="Arial"/>
          <w:bCs/>
          <w:lang w:val="en-CA" w:eastAsia="fr-CA"/>
        </w:rPr>
      </w:pPr>
      <w:r w:rsidRPr="00836B63">
        <w:rPr>
          <w:rFonts w:asciiTheme="minorHAnsi" w:eastAsia="Arial" w:hAnsiTheme="minorHAnsi" w:cs="Arial"/>
          <w:bCs/>
          <w:lang w:val="en-CA" w:eastAsia="fr-CA"/>
        </w:rPr>
        <w:t>●</w:t>
      </w:r>
      <w:r w:rsidRPr="00836B63">
        <w:rPr>
          <w:rFonts w:asciiTheme="minorHAnsi" w:eastAsia="Arial" w:hAnsiTheme="minorHAnsi" w:cs="Arial"/>
          <w:bCs/>
          <w:lang w:val="en-CA" w:eastAsia="fr-CA"/>
        </w:rPr>
        <w:tab/>
        <w:t>Manitoba/Saskatchewan/</w:t>
      </w:r>
      <w:proofErr w:type="gramStart"/>
      <w:r w:rsidRPr="00836B63">
        <w:rPr>
          <w:rFonts w:asciiTheme="minorHAnsi" w:eastAsia="Arial" w:hAnsiTheme="minorHAnsi" w:cs="Arial"/>
          <w:bCs/>
          <w:lang w:val="en-CA" w:eastAsia="fr-CA"/>
        </w:rPr>
        <w:t>Nunavut;</w:t>
      </w:r>
      <w:proofErr w:type="gramEnd"/>
    </w:p>
    <w:p w14:paraId="430F6220" w14:textId="77777777" w:rsidR="00CF5FFE" w:rsidRPr="00836B63" w:rsidRDefault="00CF5FFE" w:rsidP="00CF5FFE">
      <w:pPr>
        <w:spacing w:after="0" w:line="240" w:lineRule="auto"/>
        <w:jc w:val="both"/>
        <w:rPr>
          <w:rFonts w:asciiTheme="minorHAnsi" w:eastAsia="Arial" w:hAnsiTheme="minorHAnsi" w:cs="Arial"/>
          <w:bCs/>
          <w:lang w:val="en-CA" w:eastAsia="fr-CA"/>
        </w:rPr>
      </w:pPr>
      <w:r w:rsidRPr="00836B63">
        <w:rPr>
          <w:rFonts w:asciiTheme="minorHAnsi" w:eastAsia="Arial" w:hAnsiTheme="minorHAnsi" w:cs="Arial"/>
          <w:bCs/>
          <w:lang w:val="en-CA" w:eastAsia="fr-CA"/>
        </w:rPr>
        <w:t>●</w:t>
      </w:r>
      <w:r w:rsidRPr="00836B63">
        <w:rPr>
          <w:rFonts w:asciiTheme="minorHAnsi" w:eastAsia="Arial" w:hAnsiTheme="minorHAnsi" w:cs="Arial"/>
          <w:bCs/>
          <w:lang w:val="en-CA" w:eastAsia="fr-CA"/>
        </w:rPr>
        <w:tab/>
        <w:t xml:space="preserve">Alberta/Northwest </w:t>
      </w:r>
      <w:proofErr w:type="gramStart"/>
      <w:r w:rsidRPr="00836B63">
        <w:rPr>
          <w:rFonts w:asciiTheme="minorHAnsi" w:eastAsia="Arial" w:hAnsiTheme="minorHAnsi" w:cs="Arial"/>
          <w:bCs/>
          <w:lang w:val="en-CA" w:eastAsia="fr-CA"/>
        </w:rPr>
        <w:t>Territories;</w:t>
      </w:r>
      <w:proofErr w:type="gramEnd"/>
    </w:p>
    <w:p w14:paraId="40344D40" w14:textId="77777777" w:rsidR="00CF5FFE" w:rsidRPr="00836B63" w:rsidRDefault="00CF5FFE" w:rsidP="00CF5FFE">
      <w:pPr>
        <w:spacing w:after="0" w:line="240" w:lineRule="auto"/>
        <w:jc w:val="both"/>
        <w:rPr>
          <w:rFonts w:asciiTheme="minorHAnsi" w:eastAsia="Arial" w:hAnsiTheme="minorHAnsi" w:cs="Arial"/>
          <w:bCs/>
          <w:lang w:val="en-CA" w:eastAsia="fr-CA"/>
        </w:rPr>
      </w:pPr>
      <w:r w:rsidRPr="00836B63">
        <w:rPr>
          <w:rFonts w:asciiTheme="minorHAnsi" w:eastAsia="Arial" w:hAnsiTheme="minorHAnsi" w:cs="Arial"/>
          <w:bCs/>
          <w:lang w:val="en-CA" w:eastAsia="fr-CA"/>
        </w:rPr>
        <w:t>●</w:t>
      </w:r>
      <w:r w:rsidRPr="00836B63">
        <w:rPr>
          <w:rFonts w:asciiTheme="minorHAnsi" w:eastAsia="Arial" w:hAnsiTheme="minorHAnsi" w:cs="Arial"/>
          <w:bCs/>
          <w:lang w:val="en-CA" w:eastAsia="fr-CA"/>
        </w:rPr>
        <w:tab/>
        <w:t xml:space="preserve">British Columbia/Yukon. </w:t>
      </w:r>
    </w:p>
    <w:p w14:paraId="3184721C" w14:textId="77777777" w:rsidR="00CF5FFE" w:rsidRPr="00836B63" w:rsidRDefault="00CF5FFE" w:rsidP="00CF5FFE">
      <w:pPr>
        <w:spacing w:after="0" w:line="240" w:lineRule="auto"/>
        <w:jc w:val="both"/>
        <w:rPr>
          <w:rFonts w:asciiTheme="minorHAnsi" w:eastAsia="Arial" w:hAnsiTheme="minorHAnsi" w:cs="Arial"/>
          <w:bCs/>
          <w:lang w:val="en-CA" w:eastAsia="fr-CA"/>
        </w:rPr>
      </w:pPr>
    </w:p>
    <w:p w14:paraId="411A5831" w14:textId="77777777" w:rsidR="00CF5FFE" w:rsidRPr="00836B63" w:rsidRDefault="00CF5FFE" w:rsidP="00CF5FFE">
      <w:pPr>
        <w:jc w:val="both"/>
        <w:rPr>
          <w:rFonts w:asciiTheme="minorHAnsi" w:eastAsia="Arial" w:hAnsiTheme="minorHAnsi" w:cs="Arial"/>
          <w:bCs/>
          <w:lang w:val="en-GB" w:eastAsia="fr-CA"/>
        </w:rPr>
      </w:pPr>
      <w:r w:rsidRPr="00836B63">
        <w:rPr>
          <w:rFonts w:asciiTheme="minorHAnsi" w:eastAsia="Arial" w:hAnsiTheme="minorHAnsi" w:cs="Arial"/>
          <w:bCs/>
          <w:lang w:val="en-GB" w:eastAsia="fr-CA"/>
        </w:rPr>
        <w:t xml:space="preserve">The following table details the targeted distribution of the general population sample across the provinces and territories for each wave. </w:t>
      </w:r>
    </w:p>
    <w:p w14:paraId="2AB6163C" w14:textId="77777777" w:rsidR="00CF5FFE" w:rsidRPr="00836B63" w:rsidRDefault="00CF5FFE" w:rsidP="00CF5FFE">
      <w:pPr>
        <w:spacing w:after="0" w:line="240" w:lineRule="auto"/>
        <w:jc w:val="both"/>
        <w:rPr>
          <w:rFonts w:asciiTheme="minorHAnsi" w:eastAsia="Arial" w:hAnsiTheme="minorHAnsi" w:cs="Arial"/>
          <w:bCs/>
          <w:lang w:val="en-GB" w:eastAsia="fr-CA"/>
        </w:rPr>
      </w:pPr>
      <w:r w:rsidRPr="00836B63">
        <w:rPr>
          <w:rFonts w:asciiTheme="minorHAnsi" w:eastAsia="Arial" w:hAnsiTheme="minorHAnsi" w:cs="Arial"/>
          <w:bCs/>
          <w:lang w:val="en-GB" w:eastAsia="fr-CA"/>
        </w:rPr>
        <w:t>The sample distribution was planned as follows:</w:t>
      </w:r>
    </w:p>
    <w:p w14:paraId="267FCBBF" w14:textId="77777777" w:rsidR="00CF5FFE" w:rsidRPr="00836B63" w:rsidRDefault="00CF5FFE" w:rsidP="00CF5FFE">
      <w:pPr>
        <w:spacing w:after="0" w:line="240" w:lineRule="auto"/>
        <w:jc w:val="both"/>
        <w:rPr>
          <w:rFonts w:asciiTheme="minorHAnsi" w:eastAsia="Arial" w:hAnsiTheme="minorHAnsi" w:cs="Arial"/>
          <w:bCs/>
          <w:lang w:val="en-GB" w:eastAsia="fr-CA"/>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1"/>
        <w:gridCol w:w="483"/>
        <w:gridCol w:w="494"/>
        <w:gridCol w:w="470"/>
        <w:gridCol w:w="517"/>
        <w:gridCol w:w="587"/>
        <w:gridCol w:w="587"/>
        <w:gridCol w:w="567"/>
        <w:gridCol w:w="470"/>
        <w:gridCol w:w="587"/>
        <w:gridCol w:w="587"/>
        <w:gridCol w:w="538"/>
        <w:gridCol w:w="501"/>
        <w:gridCol w:w="469"/>
      </w:tblGrid>
      <w:tr w:rsidR="00CF5FFE" w:rsidRPr="00836B63" w14:paraId="1B72296B" w14:textId="77777777" w:rsidTr="001631F8">
        <w:trPr>
          <w:trHeight w:val="870"/>
          <w:jc w:val="center"/>
        </w:trPr>
        <w:tc>
          <w:tcPr>
            <w:tcW w:w="0" w:type="auto"/>
            <w:vAlign w:val="center"/>
          </w:tcPr>
          <w:p w14:paraId="0FB830F6" w14:textId="77777777" w:rsidR="00CF5FFE" w:rsidRPr="00836B63" w:rsidRDefault="00CF5FFE" w:rsidP="001631F8">
            <w:pPr>
              <w:spacing w:line="240" w:lineRule="auto"/>
              <w:jc w:val="center"/>
              <w:rPr>
                <w:rFonts w:asciiTheme="minorHAnsi" w:eastAsia="Times New Roman" w:hAnsiTheme="minorHAnsi"/>
                <w:b/>
                <w:bCs/>
                <w:color w:val="000000"/>
                <w:lang w:eastAsia="en-CA"/>
              </w:rPr>
            </w:pPr>
            <w:r w:rsidRPr="00836B63">
              <w:rPr>
                <w:rFonts w:asciiTheme="minorHAnsi" w:eastAsia="Times New Roman" w:hAnsiTheme="minorHAnsi"/>
                <w:b/>
                <w:bCs/>
                <w:color w:val="000000"/>
                <w:lang w:eastAsia="en-CA"/>
              </w:rPr>
              <w:t xml:space="preserve">Provinces and </w:t>
            </w:r>
            <w:proofErr w:type="spellStart"/>
            <w:r w:rsidRPr="00836B63">
              <w:rPr>
                <w:rFonts w:asciiTheme="minorHAnsi" w:eastAsia="Times New Roman" w:hAnsiTheme="minorHAnsi"/>
                <w:b/>
                <w:bCs/>
                <w:color w:val="000000"/>
                <w:lang w:eastAsia="en-CA"/>
              </w:rPr>
              <w:t>Territories</w:t>
            </w:r>
            <w:proofErr w:type="spellEnd"/>
          </w:p>
        </w:tc>
        <w:tc>
          <w:tcPr>
            <w:tcW w:w="0" w:type="auto"/>
            <w:shd w:val="clear" w:color="auto" w:fill="auto"/>
            <w:noWrap/>
            <w:vAlign w:val="center"/>
            <w:hideMark/>
          </w:tcPr>
          <w:p w14:paraId="283B074A"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NL</w:t>
            </w:r>
          </w:p>
        </w:tc>
        <w:tc>
          <w:tcPr>
            <w:tcW w:w="0" w:type="auto"/>
            <w:shd w:val="clear" w:color="auto" w:fill="auto"/>
            <w:noWrap/>
            <w:vAlign w:val="center"/>
            <w:hideMark/>
          </w:tcPr>
          <w:p w14:paraId="7B936504"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NS</w:t>
            </w:r>
          </w:p>
        </w:tc>
        <w:tc>
          <w:tcPr>
            <w:tcW w:w="0" w:type="auto"/>
            <w:shd w:val="clear" w:color="auto" w:fill="auto"/>
            <w:noWrap/>
            <w:vAlign w:val="center"/>
            <w:hideMark/>
          </w:tcPr>
          <w:p w14:paraId="60974110"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PE</w:t>
            </w:r>
          </w:p>
        </w:tc>
        <w:tc>
          <w:tcPr>
            <w:tcW w:w="0" w:type="auto"/>
            <w:shd w:val="clear" w:color="auto" w:fill="auto"/>
            <w:noWrap/>
            <w:vAlign w:val="center"/>
            <w:hideMark/>
          </w:tcPr>
          <w:p w14:paraId="25A7F155"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NB</w:t>
            </w:r>
          </w:p>
        </w:tc>
        <w:tc>
          <w:tcPr>
            <w:tcW w:w="0" w:type="auto"/>
            <w:shd w:val="clear" w:color="auto" w:fill="auto"/>
            <w:noWrap/>
            <w:vAlign w:val="center"/>
            <w:hideMark/>
          </w:tcPr>
          <w:p w14:paraId="36E220A6"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QC</w:t>
            </w:r>
          </w:p>
        </w:tc>
        <w:tc>
          <w:tcPr>
            <w:tcW w:w="0" w:type="auto"/>
            <w:shd w:val="clear" w:color="auto" w:fill="auto"/>
            <w:noWrap/>
            <w:vAlign w:val="center"/>
            <w:hideMark/>
          </w:tcPr>
          <w:p w14:paraId="1C0B40D2"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ON</w:t>
            </w:r>
          </w:p>
        </w:tc>
        <w:tc>
          <w:tcPr>
            <w:tcW w:w="0" w:type="auto"/>
            <w:shd w:val="clear" w:color="auto" w:fill="auto"/>
            <w:noWrap/>
            <w:vAlign w:val="center"/>
            <w:hideMark/>
          </w:tcPr>
          <w:p w14:paraId="76C27AD3"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MB</w:t>
            </w:r>
          </w:p>
        </w:tc>
        <w:tc>
          <w:tcPr>
            <w:tcW w:w="0" w:type="auto"/>
            <w:shd w:val="clear" w:color="auto" w:fill="auto"/>
            <w:noWrap/>
            <w:vAlign w:val="center"/>
            <w:hideMark/>
          </w:tcPr>
          <w:p w14:paraId="1DEED5E2"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SK</w:t>
            </w:r>
          </w:p>
        </w:tc>
        <w:tc>
          <w:tcPr>
            <w:tcW w:w="0" w:type="auto"/>
            <w:shd w:val="clear" w:color="auto" w:fill="auto"/>
            <w:noWrap/>
            <w:vAlign w:val="center"/>
            <w:hideMark/>
          </w:tcPr>
          <w:p w14:paraId="6E9001DC"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AB</w:t>
            </w:r>
          </w:p>
        </w:tc>
        <w:tc>
          <w:tcPr>
            <w:tcW w:w="0" w:type="auto"/>
            <w:shd w:val="clear" w:color="auto" w:fill="auto"/>
            <w:noWrap/>
            <w:vAlign w:val="center"/>
            <w:hideMark/>
          </w:tcPr>
          <w:p w14:paraId="25A44F0F"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BC</w:t>
            </w:r>
          </w:p>
        </w:tc>
        <w:tc>
          <w:tcPr>
            <w:tcW w:w="0" w:type="auto"/>
            <w:shd w:val="clear" w:color="auto" w:fill="auto"/>
            <w:noWrap/>
            <w:vAlign w:val="center"/>
            <w:hideMark/>
          </w:tcPr>
          <w:p w14:paraId="2B79A8EC"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NU</w:t>
            </w:r>
          </w:p>
        </w:tc>
        <w:tc>
          <w:tcPr>
            <w:tcW w:w="0" w:type="auto"/>
            <w:shd w:val="clear" w:color="auto" w:fill="auto"/>
            <w:noWrap/>
            <w:vAlign w:val="center"/>
            <w:hideMark/>
          </w:tcPr>
          <w:p w14:paraId="75524198"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NT</w:t>
            </w:r>
          </w:p>
        </w:tc>
        <w:tc>
          <w:tcPr>
            <w:tcW w:w="0" w:type="auto"/>
            <w:shd w:val="clear" w:color="auto" w:fill="auto"/>
            <w:noWrap/>
            <w:vAlign w:val="center"/>
            <w:hideMark/>
          </w:tcPr>
          <w:p w14:paraId="6FAB5894"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b/>
                <w:bCs/>
                <w:color w:val="000000"/>
                <w:lang w:eastAsia="en-CA"/>
              </w:rPr>
              <w:t>YT</w:t>
            </w:r>
          </w:p>
        </w:tc>
      </w:tr>
      <w:tr w:rsidR="00CF5FFE" w:rsidRPr="00836B63" w14:paraId="3E0CDD28" w14:textId="77777777" w:rsidTr="001631F8">
        <w:trPr>
          <w:trHeight w:val="386"/>
          <w:jc w:val="center"/>
        </w:trPr>
        <w:tc>
          <w:tcPr>
            <w:tcW w:w="0" w:type="auto"/>
            <w:vAlign w:val="center"/>
          </w:tcPr>
          <w:p w14:paraId="05ABA6E5" w14:textId="77777777" w:rsidR="00CF5FFE" w:rsidRPr="00836B63" w:rsidRDefault="00CF5FFE" w:rsidP="001631F8">
            <w:pPr>
              <w:spacing w:line="240" w:lineRule="auto"/>
              <w:jc w:val="center"/>
              <w:rPr>
                <w:rFonts w:asciiTheme="minorHAnsi" w:eastAsia="Times New Roman" w:hAnsiTheme="minorHAnsi"/>
                <w:b/>
                <w:bCs/>
                <w:color w:val="000000"/>
                <w:lang w:val="en-CA" w:eastAsia="en-CA"/>
              </w:rPr>
            </w:pPr>
            <w:r w:rsidRPr="00836B63">
              <w:rPr>
                <w:rFonts w:asciiTheme="minorHAnsi" w:eastAsia="Times New Roman" w:hAnsiTheme="minorHAnsi" w:cstheme="minorHAnsi"/>
                <w:b/>
                <w:bCs/>
                <w:color w:val="000000"/>
                <w:lang w:val="en-CA" w:eastAsia="en-CA"/>
              </w:rPr>
              <w:t xml:space="preserve"># </w:t>
            </w:r>
            <w:r w:rsidRPr="00836B63">
              <w:rPr>
                <w:rFonts w:asciiTheme="minorHAnsi" w:eastAsia="Times New Roman" w:hAnsiTheme="minorHAnsi"/>
                <w:b/>
                <w:bCs/>
                <w:color w:val="000000"/>
                <w:lang w:val="en-CA" w:eastAsia="en-CA"/>
              </w:rPr>
              <w:t xml:space="preserve">of general population respondents </w:t>
            </w:r>
          </w:p>
        </w:tc>
        <w:tc>
          <w:tcPr>
            <w:tcW w:w="0" w:type="auto"/>
            <w:shd w:val="clear" w:color="auto" w:fill="auto"/>
            <w:noWrap/>
            <w:vAlign w:val="center"/>
            <w:hideMark/>
          </w:tcPr>
          <w:p w14:paraId="252E5B70"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25</w:t>
            </w:r>
          </w:p>
        </w:tc>
        <w:tc>
          <w:tcPr>
            <w:tcW w:w="0" w:type="auto"/>
            <w:shd w:val="clear" w:color="auto" w:fill="auto"/>
            <w:noWrap/>
            <w:vAlign w:val="center"/>
            <w:hideMark/>
          </w:tcPr>
          <w:p w14:paraId="7E768CA9"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47</w:t>
            </w:r>
          </w:p>
        </w:tc>
        <w:tc>
          <w:tcPr>
            <w:tcW w:w="0" w:type="auto"/>
            <w:shd w:val="clear" w:color="auto" w:fill="auto"/>
            <w:noWrap/>
            <w:vAlign w:val="center"/>
            <w:hideMark/>
          </w:tcPr>
          <w:p w14:paraId="24FF1958"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7</w:t>
            </w:r>
          </w:p>
        </w:tc>
        <w:tc>
          <w:tcPr>
            <w:tcW w:w="0" w:type="auto"/>
            <w:shd w:val="clear" w:color="auto" w:fill="auto"/>
            <w:noWrap/>
            <w:vAlign w:val="center"/>
            <w:hideMark/>
          </w:tcPr>
          <w:p w14:paraId="697C18D0"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38</w:t>
            </w:r>
          </w:p>
        </w:tc>
        <w:tc>
          <w:tcPr>
            <w:tcW w:w="0" w:type="auto"/>
            <w:shd w:val="clear" w:color="auto" w:fill="auto"/>
            <w:noWrap/>
            <w:vAlign w:val="center"/>
            <w:hideMark/>
          </w:tcPr>
          <w:p w14:paraId="58D0C737"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414</w:t>
            </w:r>
          </w:p>
        </w:tc>
        <w:tc>
          <w:tcPr>
            <w:tcW w:w="0" w:type="auto"/>
            <w:shd w:val="clear" w:color="auto" w:fill="auto"/>
            <w:noWrap/>
            <w:vAlign w:val="center"/>
            <w:hideMark/>
          </w:tcPr>
          <w:p w14:paraId="5C777926"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692</w:t>
            </w:r>
          </w:p>
        </w:tc>
        <w:tc>
          <w:tcPr>
            <w:tcW w:w="0" w:type="auto"/>
            <w:shd w:val="clear" w:color="auto" w:fill="auto"/>
            <w:noWrap/>
            <w:vAlign w:val="center"/>
            <w:hideMark/>
          </w:tcPr>
          <w:p w14:paraId="6E6F7D6B"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66</w:t>
            </w:r>
          </w:p>
        </w:tc>
        <w:tc>
          <w:tcPr>
            <w:tcW w:w="0" w:type="auto"/>
            <w:shd w:val="clear" w:color="auto" w:fill="auto"/>
            <w:noWrap/>
            <w:vAlign w:val="center"/>
            <w:hideMark/>
          </w:tcPr>
          <w:p w14:paraId="462B712D"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55</w:t>
            </w:r>
          </w:p>
        </w:tc>
        <w:tc>
          <w:tcPr>
            <w:tcW w:w="0" w:type="auto"/>
            <w:shd w:val="clear" w:color="auto" w:fill="auto"/>
            <w:noWrap/>
            <w:vAlign w:val="center"/>
            <w:hideMark/>
          </w:tcPr>
          <w:p w14:paraId="0BA19634"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207</w:t>
            </w:r>
          </w:p>
        </w:tc>
        <w:tc>
          <w:tcPr>
            <w:tcW w:w="0" w:type="auto"/>
            <w:shd w:val="clear" w:color="auto" w:fill="auto"/>
            <w:noWrap/>
            <w:vAlign w:val="center"/>
            <w:hideMark/>
          </w:tcPr>
          <w:p w14:paraId="510C0DF9"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243</w:t>
            </w:r>
          </w:p>
        </w:tc>
        <w:tc>
          <w:tcPr>
            <w:tcW w:w="0" w:type="auto"/>
            <w:shd w:val="clear" w:color="auto" w:fill="auto"/>
            <w:noWrap/>
            <w:vAlign w:val="center"/>
            <w:hideMark/>
          </w:tcPr>
          <w:p w14:paraId="5680F56D"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2</w:t>
            </w:r>
          </w:p>
        </w:tc>
        <w:tc>
          <w:tcPr>
            <w:tcW w:w="0" w:type="auto"/>
            <w:shd w:val="clear" w:color="auto" w:fill="auto"/>
            <w:noWrap/>
            <w:vAlign w:val="center"/>
            <w:hideMark/>
          </w:tcPr>
          <w:p w14:paraId="2C544CFC"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2</w:t>
            </w:r>
          </w:p>
        </w:tc>
        <w:tc>
          <w:tcPr>
            <w:tcW w:w="0" w:type="auto"/>
            <w:shd w:val="clear" w:color="auto" w:fill="auto"/>
            <w:noWrap/>
            <w:vAlign w:val="center"/>
            <w:hideMark/>
          </w:tcPr>
          <w:p w14:paraId="391A3916" w14:textId="77777777" w:rsidR="00CF5FFE" w:rsidRPr="00836B63" w:rsidRDefault="00CF5FFE" w:rsidP="001631F8">
            <w:pPr>
              <w:spacing w:line="240" w:lineRule="auto"/>
              <w:jc w:val="center"/>
              <w:rPr>
                <w:rFonts w:asciiTheme="minorHAnsi" w:eastAsia="Times New Roman" w:hAnsiTheme="minorHAnsi"/>
                <w:color w:val="000000"/>
                <w:lang w:val="en-CA" w:eastAsia="en-CA"/>
              </w:rPr>
            </w:pPr>
            <w:r w:rsidRPr="00836B63">
              <w:rPr>
                <w:rFonts w:asciiTheme="minorHAnsi" w:eastAsia="Times New Roman" w:hAnsiTheme="minorHAnsi"/>
                <w:color w:val="000000"/>
              </w:rPr>
              <w:t>2</w:t>
            </w:r>
          </w:p>
        </w:tc>
      </w:tr>
    </w:tbl>
    <w:p w14:paraId="0E8D0B0C" w14:textId="77777777" w:rsidR="00CF5FFE" w:rsidRPr="00836B63" w:rsidRDefault="00CF5FFE" w:rsidP="00CF5FFE">
      <w:pPr>
        <w:spacing w:after="0" w:line="240" w:lineRule="auto"/>
        <w:jc w:val="both"/>
        <w:rPr>
          <w:rFonts w:asciiTheme="minorHAnsi" w:eastAsia="Arial" w:hAnsiTheme="minorHAnsi" w:cs="Arial"/>
          <w:bCs/>
          <w:lang w:val="en-GB" w:eastAsia="fr-CA"/>
        </w:rPr>
      </w:pPr>
    </w:p>
    <w:p w14:paraId="53ED71B9" w14:textId="77777777" w:rsidR="00CF5FFE" w:rsidRPr="00836B63" w:rsidRDefault="00CF5FFE" w:rsidP="00CF5FFE">
      <w:pPr>
        <w:spacing w:after="0"/>
        <w:jc w:val="both"/>
        <w:rPr>
          <w:rFonts w:asciiTheme="minorHAnsi" w:eastAsia="Arial" w:hAnsiTheme="minorHAnsi" w:cs="Arial"/>
          <w:bCs/>
          <w:lang w:val="en-GB" w:eastAsia="fr-CA"/>
        </w:rPr>
      </w:pPr>
      <w:r w:rsidRPr="00836B63">
        <w:rPr>
          <w:rFonts w:asciiTheme="minorHAnsi" w:eastAsia="Arial" w:hAnsiTheme="minorHAnsi" w:cs="Arial"/>
          <w:bCs/>
          <w:lang w:val="en-GB" w:eastAsia="fr-CA"/>
        </w:rPr>
        <w:t xml:space="preserve">In addition to the above, Leger targeted </w:t>
      </w:r>
      <w:r w:rsidRPr="00836B63">
        <w:rPr>
          <w:rFonts w:asciiTheme="minorHAnsi" w:eastAsia="Times New Roman" w:hAnsiTheme="minorHAnsi" w:cstheme="minorHAnsi"/>
          <w:lang w:val="en-CA"/>
        </w:rPr>
        <w:t>the following age quotas:</w:t>
      </w:r>
    </w:p>
    <w:p w14:paraId="5730A00C" w14:textId="77777777" w:rsidR="00CF5FFE" w:rsidRPr="00836B63" w:rsidRDefault="00CF5FFE" w:rsidP="00CF5FF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eastAsia="Times New Roman" w:hAnsiTheme="minorHAnsi" w:cstheme="minorHAnsi"/>
        </w:rPr>
      </w:pPr>
      <w:r w:rsidRPr="00836B63">
        <w:rPr>
          <w:rFonts w:asciiTheme="minorHAnsi" w:eastAsia="Times New Roman" w:hAnsiTheme="minorHAnsi" w:cstheme="minorHAnsi"/>
        </w:rPr>
        <w:lastRenderedPageBreak/>
        <w:t xml:space="preserve">18-34 </w:t>
      </w:r>
      <w:proofErr w:type="spellStart"/>
      <w:r w:rsidRPr="00836B63">
        <w:rPr>
          <w:rFonts w:asciiTheme="minorHAnsi" w:eastAsia="Times New Roman" w:hAnsiTheme="minorHAnsi" w:cstheme="minorHAnsi"/>
        </w:rPr>
        <w:t>years</w:t>
      </w:r>
      <w:proofErr w:type="spellEnd"/>
      <w:r w:rsidRPr="00836B63">
        <w:rPr>
          <w:rFonts w:asciiTheme="minorHAnsi" w:eastAsia="Times New Roman" w:hAnsiTheme="minorHAnsi" w:cstheme="minorHAnsi"/>
        </w:rPr>
        <w:t xml:space="preserve"> </w:t>
      </w:r>
      <w:proofErr w:type="spellStart"/>
      <w:r w:rsidRPr="00836B63">
        <w:rPr>
          <w:rFonts w:asciiTheme="minorHAnsi" w:eastAsia="Times New Roman" w:hAnsiTheme="minorHAnsi" w:cstheme="minorHAnsi"/>
        </w:rPr>
        <w:t>old</w:t>
      </w:r>
      <w:proofErr w:type="spellEnd"/>
      <w:r w:rsidRPr="00836B63">
        <w:rPr>
          <w:rFonts w:asciiTheme="minorHAnsi" w:eastAsia="Times New Roman" w:hAnsiTheme="minorHAnsi" w:cstheme="minorHAnsi"/>
        </w:rPr>
        <w:t xml:space="preserve"> - 28% </w:t>
      </w:r>
    </w:p>
    <w:p w14:paraId="7F78BE07" w14:textId="77777777" w:rsidR="00CF5FFE" w:rsidRPr="00836B63" w:rsidRDefault="00CF5FFE" w:rsidP="00CF5FFE">
      <w:pPr>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eastAsia="Times New Roman" w:hAnsiTheme="minorHAnsi" w:cstheme="minorHAnsi"/>
        </w:rPr>
      </w:pPr>
      <w:r w:rsidRPr="00836B63">
        <w:rPr>
          <w:rFonts w:asciiTheme="minorHAnsi" w:eastAsia="Times New Roman" w:hAnsiTheme="minorHAnsi" w:cstheme="minorHAnsi"/>
        </w:rPr>
        <w:t xml:space="preserve">18-24 </w:t>
      </w:r>
      <w:proofErr w:type="spellStart"/>
      <w:r w:rsidRPr="00836B63">
        <w:rPr>
          <w:rFonts w:asciiTheme="minorHAnsi" w:eastAsia="Times New Roman" w:hAnsiTheme="minorHAnsi" w:cstheme="minorHAnsi"/>
        </w:rPr>
        <w:t>years</w:t>
      </w:r>
      <w:proofErr w:type="spellEnd"/>
      <w:r w:rsidRPr="00836B63">
        <w:rPr>
          <w:rFonts w:asciiTheme="minorHAnsi" w:eastAsia="Times New Roman" w:hAnsiTheme="minorHAnsi" w:cstheme="minorHAnsi"/>
        </w:rPr>
        <w:t xml:space="preserve"> </w:t>
      </w:r>
      <w:proofErr w:type="spellStart"/>
      <w:r w:rsidRPr="00836B63">
        <w:rPr>
          <w:rFonts w:asciiTheme="minorHAnsi" w:eastAsia="Times New Roman" w:hAnsiTheme="minorHAnsi" w:cstheme="minorHAnsi"/>
        </w:rPr>
        <w:t>old</w:t>
      </w:r>
      <w:proofErr w:type="spellEnd"/>
      <w:r w:rsidRPr="00836B63">
        <w:rPr>
          <w:rFonts w:asciiTheme="minorHAnsi" w:eastAsia="Times New Roman" w:hAnsiTheme="minorHAnsi" w:cstheme="minorHAnsi"/>
        </w:rPr>
        <w:t xml:space="preserve"> - 11%</w:t>
      </w:r>
    </w:p>
    <w:p w14:paraId="561F124B" w14:textId="77777777" w:rsidR="00CF5FFE" w:rsidRPr="00836B63" w:rsidRDefault="00CF5FFE" w:rsidP="00CF5FFE">
      <w:pPr>
        <w:widowControl w:v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eastAsia="Times New Roman" w:hAnsiTheme="minorHAnsi" w:cstheme="minorHAnsi"/>
        </w:rPr>
      </w:pPr>
      <w:r w:rsidRPr="00836B63">
        <w:rPr>
          <w:rFonts w:asciiTheme="minorHAnsi" w:eastAsia="Times New Roman" w:hAnsiTheme="minorHAnsi" w:cstheme="minorHAnsi"/>
        </w:rPr>
        <w:t xml:space="preserve">25-34 </w:t>
      </w:r>
      <w:proofErr w:type="spellStart"/>
      <w:r w:rsidRPr="00836B63">
        <w:rPr>
          <w:rFonts w:asciiTheme="minorHAnsi" w:eastAsia="Times New Roman" w:hAnsiTheme="minorHAnsi" w:cstheme="minorHAnsi"/>
        </w:rPr>
        <w:t>years</w:t>
      </w:r>
      <w:proofErr w:type="spellEnd"/>
      <w:r w:rsidRPr="00836B63">
        <w:rPr>
          <w:rFonts w:asciiTheme="minorHAnsi" w:eastAsia="Times New Roman" w:hAnsiTheme="minorHAnsi" w:cstheme="minorHAnsi"/>
        </w:rPr>
        <w:t xml:space="preserve"> </w:t>
      </w:r>
      <w:proofErr w:type="spellStart"/>
      <w:r w:rsidRPr="00836B63">
        <w:rPr>
          <w:rFonts w:asciiTheme="minorHAnsi" w:eastAsia="Times New Roman" w:hAnsiTheme="minorHAnsi" w:cstheme="minorHAnsi"/>
        </w:rPr>
        <w:t>old</w:t>
      </w:r>
      <w:proofErr w:type="spellEnd"/>
      <w:r w:rsidRPr="00836B63">
        <w:rPr>
          <w:rFonts w:asciiTheme="minorHAnsi" w:eastAsia="Times New Roman" w:hAnsiTheme="minorHAnsi" w:cstheme="minorHAnsi"/>
        </w:rPr>
        <w:t xml:space="preserve"> - 17%</w:t>
      </w:r>
    </w:p>
    <w:p w14:paraId="010DBBEA" w14:textId="77777777" w:rsidR="00CF5FFE" w:rsidRPr="00836B63" w:rsidRDefault="00CF5FFE" w:rsidP="00CF5FF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eastAsia="Times New Roman" w:hAnsiTheme="minorHAnsi" w:cstheme="minorHAnsi"/>
        </w:rPr>
      </w:pPr>
      <w:r w:rsidRPr="00836B63">
        <w:rPr>
          <w:rFonts w:asciiTheme="minorHAnsi" w:eastAsia="Times New Roman" w:hAnsiTheme="minorHAnsi" w:cstheme="minorHAnsi"/>
        </w:rPr>
        <w:t xml:space="preserve">35-54 </w:t>
      </w:r>
      <w:proofErr w:type="spellStart"/>
      <w:r w:rsidRPr="00836B63">
        <w:rPr>
          <w:rFonts w:asciiTheme="minorHAnsi" w:eastAsia="Times New Roman" w:hAnsiTheme="minorHAnsi" w:cstheme="minorHAnsi"/>
        </w:rPr>
        <w:t>years</w:t>
      </w:r>
      <w:proofErr w:type="spellEnd"/>
      <w:r w:rsidRPr="00836B63">
        <w:rPr>
          <w:rFonts w:asciiTheme="minorHAnsi" w:eastAsia="Times New Roman" w:hAnsiTheme="minorHAnsi" w:cstheme="minorHAnsi"/>
        </w:rPr>
        <w:t xml:space="preserve"> </w:t>
      </w:r>
      <w:proofErr w:type="spellStart"/>
      <w:r w:rsidRPr="00836B63">
        <w:rPr>
          <w:rFonts w:asciiTheme="minorHAnsi" w:eastAsia="Times New Roman" w:hAnsiTheme="minorHAnsi" w:cstheme="minorHAnsi"/>
        </w:rPr>
        <w:t>old</w:t>
      </w:r>
      <w:proofErr w:type="spellEnd"/>
      <w:r w:rsidRPr="00836B63">
        <w:rPr>
          <w:rFonts w:asciiTheme="minorHAnsi" w:eastAsia="Times New Roman" w:hAnsiTheme="minorHAnsi" w:cstheme="minorHAnsi"/>
        </w:rPr>
        <w:t xml:space="preserve"> - 32%</w:t>
      </w:r>
    </w:p>
    <w:p w14:paraId="06EEAC5F" w14:textId="77777777" w:rsidR="00CF5FFE" w:rsidRPr="00836B63" w:rsidRDefault="00CF5FFE" w:rsidP="00CF5FFE">
      <w:pPr>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Theme="minorHAnsi" w:eastAsia="Times New Roman" w:hAnsiTheme="minorHAnsi" w:cstheme="minorHAnsi"/>
        </w:rPr>
      </w:pPr>
      <w:r w:rsidRPr="00836B63">
        <w:rPr>
          <w:rFonts w:asciiTheme="minorHAnsi" w:eastAsia="Times New Roman" w:hAnsiTheme="minorHAnsi" w:cstheme="minorHAnsi"/>
        </w:rPr>
        <w:t xml:space="preserve">55+ </w:t>
      </w:r>
      <w:proofErr w:type="spellStart"/>
      <w:r w:rsidRPr="00836B63">
        <w:rPr>
          <w:rFonts w:asciiTheme="minorHAnsi" w:eastAsia="Times New Roman" w:hAnsiTheme="minorHAnsi" w:cstheme="minorHAnsi"/>
        </w:rPr>
        <w:t>years</w:t>
      </w:r>
      <w:proofErr w:type="spellEnd"/>
      <w:r w:rsidRPr="00836B63">
        <w:rPr>
          <w:rFonts w:asciiTheme="minorHAnsi" w:eastAsia="Times New Roman" w:hAnsiTheme="minorHAnsi" w:cstheme="minorHAnsi"/>
        </w:rPr>
        <w:t xml:space="preserve"> </w:t>
      </w:r>
      <w:proofErr w:type="spellStart"/>
      <w:r w:rsidRPr="00836B63">
        <w:rPr>
          <w:rFonts w:asciiTheme="minorHAnsi" w:eastAsia="Times New Roman" w:hAnsiTheme="minorHAnsi" w:cstheme="minorHAnsi"/>
        </w:rPr>
        <w:t>old</w:t>
      </w:r>
      <w:proofErr w:type="spellEnd"/>
      <w:r w:rsidRPr="00836B63">
        <w:rPr>
          <w:rFonts w:asciiTheme="minorHAnsi" w:eastAsia="Times New Roman" w:hAnsiTheme="minorHAnsi" w:cstheme="minorHAnsi"/>
        </w:rPr>
        <w:t xml:space="preserve"> - 40%</w:t>
      </w:r>
    </w:p>
    <w:p w14:paraId="0D575A02" w14:textId="77777777" w:rsidR="00CF5FFE" w:rsidRPr="00836B63" w:rsidRDefault="00CF5FFE" w:rsidP="00CF5FFE">
      <w:pPr>
        <w:spacing w:after="0" w:line="240" w:lineRule="auto"/>
        <w:jc w:val="both"/>
        <w:rPr>
          <w:rFonts w:asciiTheme="minorHAnsi" w:eastAsia="Arial" w:hAnsiTheme="minorHAnsi" w:cs="Arial"/>
          <w:bCs/>
          <w:lang w:val="en-GB" w:eastAsia="fr-CA"/>
        </w:rPr>
      </w:pPr>
    </w:p>
    <w:p w14:paraId="6B24C51F" w14:textId="1A00669A" w:rsidR="00CF5FFE" w:rsidRPr="00836B63" w:rsidRDefault="00CF5FFE" w:rsidP="00CF5FFE">
      <w:pPr>
        <w:spacing w:after="0"/>
        <w:jc w:val="both"/>
        <w:rPr>
          <w:rFonts w:asciiTheme="minorHAnsi" w:eastAsia="Arial" w:hAnsiTheme="minorHAnsi" w:cs="Arial"/>
          <w:bCs/>
          <w:lang w:val="en-GB" w:eastAsia="fr-CA"/>
        </w:rPr>
      </w:pPr>
      <w:r w:rsidRPr="00415149">
        <w:rPr>
          <w:rFonts w:asciiTheme="minorHAnsi" w:eastAsia="Arial" w:hAnsiTheme="minorHAnsi" w:cs="Arial"/>
          <w:bCs/>
          <w:lang w:val="en-GB" w:eastAsia="fr-CA"/>
        </w:rPr>
        <w:t xml:space="preserve">As with any general population sample derived from a national survey, the </w:t>
      </w:r>
      <w:proofErr w:type="gramStart"/>
      <w:r w:rsidRPr="00415149">
        <w:rPr>
          <w:rFonts w:asciiTheme="minorHAnsi" w:eastAsia="Arial" w:hAnsiTheme="minorHAnsi" w:cs="Arial"/>
          <w:bCs/>
          <w:lang w:val="en-GB" w:eastAsia="fr-CA"/>
        </w:rPr>
        <w:t>final results</w:t>
      </w:r>
      <w:proofErr w:type="gramEnd"/>
      <w:r w:rsidRPr="00415149">
        <w:rPr>
          <w:rFonts w:asciiTheme="minorHAnsi" w:eastAsia="Arial" w:hAnsiTheme="minorHAnsi" w:cs="Arial"/>
          <w:bCs/>
          <w:lang w:val="en-GB" w:eastAsia="fr-CA"/>
        </w:rPr>
        <w:t xml:space="preserve"> were weighted by region, age group, gender, level of education, as well as any other variables used for the oversample</w:t>
      </w:r>
      <w:r>
        <w:rPr>
          <w:rFonts w:asciiTheme="minorHAnsi" w:eastAsia="Arial" w:hAnsiTheme="minorHAnsi" w:cs="Arial"/>
          <w:bCs/>
          <w:lang w:val="en-GB" w:eastAsia="fr-CA"/>
        </w:rPr>
        <w:t xml:space="preserve"> </w:t>
      </w:r>
      <w:r w:rsidRPr="00836B63">
        <w:rPr>
          <w:rFonts w:asciiTheme="minorHAnsi" w:eastAsia="Arial" w:hAnsiTheme="minorHAnsi" w:cs="Arial"/>
          <w:bCs/>
          <w:lang w:val="en-GB" w:eastAsia="fr-CA"/>
        </w:rPr>
        <w:t xml:space="preserve">when necessary to make the final samples representative of the actual population of Canada. </w:t>
      </w:r>
    </w:p>
    <w:p w14:paraId="7CAB15E8" w14:textId="77777777" w:rsidR="00CF5FFE" w:rsidRPr="00836B63" w:rsidRDefault="00CF5FFE" w:rsidP="00CF5FFE">
      <w:pPr>
        <w:pStyle w:val="Heading2"/>
        <w:rPr>
          <w:lang w:val="en-CA"/>
        </w:rPr>
      </w:pPr>
      <w:bookmarkStart w:id="21" w:name="_Toc157678872"/>
      <w:r w:rsidRPr="00836B63">
        <w:rPr>
          <w:lang w:val="en-CA"/>
        </w:rPr>
        <w:t>1.6 CAWI Approach</w:t>
      </w:r>
      <w:bookmarkEnd w:id="21"/>
    </w:p>
    <w:p w14:paraId="4A744D35"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 xml:space="preserve">For these online surveys, a computer-aided web interviewing (CAWI) method with self-administered questionnaires was used. </w:t>
      </w:r>
    </w:p>
    <w:p w14:paraId="6AC2C1B1" w14:textId="77777777" w:rsidR="00CF5FFE" w:rsidRPr="00836B63" w:rsidRDefault="00CF5FFE" w:rsidP="00CF5FFE">
      <w:pPr>
        <w:jc w:val="both"/>
        <w:rPr>
          <w:rFonts w:asciiTheme="minorHAnsi" w:hAnsiTheme="minorHAnsi" w:cstheme="minorHAnsi"/>
          <w:lang w:val="en-CA"/>
        </w:rPr>
      </w:pPr>
      <w:r w:rsidRPr="00836B63">
        <w:rPr>
          <w:rFonts w:asciiTheme="minorHAnsi" w:hAnsiTheme="minorHAnsi" w:cstheme="minorHAnsi"/>
          <w:lang w:val="en-CA"/>
        </w:rPr>
        <w:t xml:space="preserve">All interviewees were contacted by Leger. All invitations were bilingual to ensure that no respondent gets a unilingual invitation in the wrong official language. </w:t>
      </w:r>
    </w:p>
    <w:p w14:paraId="4C8DA287" w14:textId="77777777" w:rsidR="00CF5FFE" w:rsidRPr="00836B63" w:rsidRDefault="00CF5FFE" w:rsidP="00CF5FFE">
      <w:pPr>
        <w:jc w:val="both"/>
        <w:rPr>
          <w:rFonts w:asciiTheme="minorHAnsi" w:hAnsiTheme="minorHAnsi" w:cstheme="minorHAnsi"/>
          <w:lang w:val="en-CA"/>
        </w:rPr>
      </w:pPr>
      <w:r w:rsidRPr="00836B63">
        <w:rPr>
          <w:rFonts w:asciiTheme="minorHAnsi" w:hAnsiTheme="minorHAnsi" w:cstheme="minorHAnsi"/>
          <w:lang w:val="en-CA"/>
        </w:rPr>
        <w:t xml:space="preserve">Each invitation email contained a unique URL link that respondents could simply click to access the survey in the language of their choice. Upon arrival on Leger’s online survey servers, the respondent was asked to confirm their choice of language before entering the survey. Respondents were also allowed to answer the survey in more than one continuous if they desired. They could simply leave the survey and come back </w:t>
      </w:r>
      <w:proofErr w:type="gramStart"/>
      <w:r w:rsidRPr="00836B63">
        <w:rPr>
          <w:rFonts w:asciiTheme="minorHAnsi" w:hAnsiTheme="minorHAnsi" w:cstheme="minorHAnsi"/>
          <w:lang w:val="en-CA"/>
        </w:rPr>
        <w:t>at a later time</w:t>
      </w:r>
      <w:proofErr w:type="gramEnd"/>
      <w:r w:rsidRPr="00836B63">
        <w:rPr>
          <w:rFonts w:asciiTheme="minorHAnsi" w:hAnsiTheme="minorHAnsi" w:cstheme="minorHAnsi"/>
          <w:lang w:val="en-CA"/>
        </w:rPr>
        <w:t xml:space="preserve"> using the same unique URL that was provided to them for their initial visit. All data entered contained strictly on Leger’s Canadian servers and will be protected using an SSL process.</w:t>
      </w:r>
    </w:p>
    <w:p w14:paraId="70A0FF37" w14:textId="77777777" w:rsidR="00CF5FFE" w:rsidRPr="00836B63" w:rsidRDefault="00CF5FFE" w:rsidP="00CF5FFE">
      <w:pPr>
        <w:pStyle w:val="Heading2"/>
        <w:rPr>
          <w:lang w:val="en-CA"/>
        </w:rPr>
      </w:pPr>
      <w:bookmarkStart w:id="22" w:name="_Toc157678873"/>
      <w:r w:rsidRPr="00836B63">
        <w:rPr>
          <w:lang w:val="en-CA"/>
        </w:rPr>
        <w:t>1.7 Survey accessibility</w:t>
      </w:r>
      <w:bookmarkEnd w:id="22"/>
      <w:r w:rsidRPr="00836B63">
        <w:rPr>
          <w:lang w:val="en-CA"/>
        </w:rPr>
        <w:t xml:space="preserve"> </w:t>
      </w:r>
    </w:p>
    <w:p w14:paraId="6B6BC994" w14:textId="77777777" w:rsidR="00CF5FFE" w:rsidRPr="00836B63" w:rsidRDefault="00CF5FFE" w:rsidP="00CF5FFE">
      <w:pPr>
        <w:keepNext/>
        <w:spacing w:before="240" w:after="160"/>
        <w:jc w:val="both"/>
        <w:rPr>
          <w:rFonts w:asciiTheme="minorHAnsi" w:eastAsia="Arial" w:hAnsiTheme="minorHAnsi" w:cs="Arial"/>
          <w:bCs/>
          <w:lang w:val="en-CA" w:eastAsia="fr-CA"/>
        </w:rPr>
      </w:pPr>
      <w:r w:rsidRPr="00836B63">
        <w:rPr>
          <w:rFonts w:asciiTheme="minorHAnsi" w:eastAsia="Times New Roman" w:hAnsiTheme="minorHAnsi" w:cstheme="minorHAnsi"/>
          <w:lang w:val="en-CA"/>
        </w:rPr>
        <w:t xml:space="preserve">Surveys were programmed under the Web Content Accessibility Guidelines (WCAG) 2.0. </w:t>
      </w:r>
    </w:p>
    <w:p w14:paraId="2121227C" w14:textId="77777777" w:rsidR="00CF5FFE" w:rsidRPr="00836B63" w:rsidRDefault="00CF5FFE" w:rsidP="00CF5FFE">
      <w:pPr>
        <w:pStyle w:val="Heading2"/>
        <w:rPr>
          <w:rFonts w:eastAsia="Arial"/>
          <w:lang w:val="en-CA"/>
        </w:rPr>
      </w:pPr>
      <w:bookmarkStart w:id="23" w:name="_Toc157678874"/>
      <w:r w:rsidRPr="00836B63">
        <w:rPr>
          <w:lang w:val="en-CA"/>
        </w:rPr>
        <w:t>1.8 Increasing Participation Rate</w:t>
      </w:r>
      <w:bookmarkEnd w:id="23"/>
    </w:p>
    <w:p w14:paraId="0F34C24C"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 xml:space="preserve">Some measures were taken to increase the participation rate among online survey respondents, as well as to reduce the number of incomplete questionnaires and increase the representative nature of the final sample. The following methods helped increase participation rates, hereby reducing non-response bias with some subgroups: </w:t>
      </w:r>
    </w:p>
    <w:p w14:paraId="760E8984" w14:textId="77777777" w:rsidR="00CF5FFE" w:rsidRPr="00836B63" w:rsidRDefault="00CF5FFE" w:rsidP="00CF5FFE">
      <w:pPr>
        <w:numPr>
          <w:ilvl w:val="0"/>
          <w:numId w:val="2"/>
        </w:numPr>
        <w:spacing w:after="0" w:line="240" w:lineRule="auto"/>
        <w:contextualSpacing/>
        <w:jc w:val="both"/>
        <w:rPr>
          <w:rFonts w:asciiTheme="minorHAnsi" w:eastAsia="Arial" w:hAnsiTheme="minorHAnsi" w:cstheme="minorHAnsi"/>
          <w:lang w:val="en-GB" w:eastAsia="fr-CA"/>
        </w:rPr>
      </w:pPr>
      <w:r w:rsidRPr="00836B63">
        <w:rPr>
          <w:rFonts w:asciiTheme="minorHAnsi" w:eastAsia="Arial" w:hAnsiTheme="minorHAnsi" w:cstheme="minorHAnsi"/>
          <w:lang w:val="en-GB" w:eastAsia="fr-CA"/>
        </w:rPr>
        <w:t>Identify the survey sponsor and topic in the survey so that potential respondents could quickly ascertain that the survey is a legitimate public policy study and not a telemarketing ploy.</w:t>
      </w:r>
    </w:p>
    <w:p w14:paraId="26BE77BA" w14:textId="77777777" w:rsidR="00CF5FFE" w:rsidRPr="00836B63" w:rsidRDefault="00CF5FFE" w:rsidP="00CF5FFE">
      <w:pPr>
        <w:numPr>
          <w:ilvl w:val="0"/>
          <w:numId w:val="2"/>
        </w:numPr>
        <w:spacing w:after="0" w:line="240" w:lineRule="auto"/>
        <w:contextualSpacing/>
        <w:jc w:val="both"/>
        <w:rPr>
          <w:rFonts w:asciiTheme="minorHAnsi" w:eastAsia="Arial" w:hAnsiTheme="minorHAnsi" w:cstheme="minorHAnsi"/>
          <w:lang w:val="en-GB" w:eastAsia="fr-CA"/>
        </w:rPr>
      </w:pPr>
      <w:r w:rsidRPr="00836B63">
        <w:rPr>
          <w:rFonts w:asciiTheme="minorHAnsi" w:eastAsia="Arial" w:hAnsiTheme="minorHAnsi" w:cstheme="minorHAnsi"/>
          <w:lang w:val="en-GB" w:eastAsia="fr-CA"/>
        </w:rPr>
        <w:t>Respondents could stop the survey and continue later, restarting exactly where they were before pausing, without losing their data.</w:t>
      </w:r>
    </w:p>
    <w:p w14:paraId="7403EE43" w14:textId="77777777" w:rsidR="00CF5FFE" w:rsidRPr="00836B63" w:rsidRDefault="00CF5FFE" w:rsidP="00CF5FFE">
      <w:pPr>
        <w:numPr>
          <w:ilvl w:val="0"/>
          <w:numId w:val="2"/>
        </w:numPr>
        <w:spacing w:after="0" w:line="240" w:lineRule="auto"/>
        <w:contextualSpacing/>
        <w:jc w:val="both"/>
        <w:rPr>
          <w:rFonts w:asciiTheme="minorHAnsi" w:eastAsia="Arial" w:hAnsiTheme="minorHAnsi" w:cstheme="minorHAnsi"/>
          <w:lang w:val="en-GB" w:eastAsia="fr-CA"/>
        </w:rPr>
      </w:pPr>
      <w:r w:rsidRPr="00836B63">
        <w:rPr>
          <w:rFonts w:asciiTheme="minorHAnsi" w:eastAsia="Arial" w:hAnsiTheme="minorHAnsi" w:cstheme="minorHAnsi"/>
          <w:lang w:val="en-GB" w:eastAsia="fr-CA"/>
        </w:rPr>
        <w:t>The survey was accessible 24 hours a day, seven days a week from any web-enabled computer and portable devices (</w:t>
      </w:r>
      <w:r w:rsidRPr="00836B63">
        <w:rPr>
          <w:rFonts w:asciiTheme="minorHAnsi" w:eastAsia="Arial" w:hAnsiTheme="minorHAnsi" w:cstheme="minorHAnsi"/>
          <w:b/>
          <w:lang w:val="en-GB" w:eastAsia="fr-CA"/>
        </w:rPr>
        <w:t>tablets and smartphones</w:t>
      </w:r>
      <w:r w:rsidRPr="00836B63">
        <w:rPr>
          <w:rFonts w:asciiTheme="minorHAnsi" w:eastAsia="Arial" w:hAnsiTheme="minorHAnsi" w:cstheme="minorHAnsi"/>
          <w:lang w:val="en-GB" w:eastAsia="fr-CA"/>
        </w:rPr>
        <w:t xml:space="preserve">). </w:t>
      </w:r>
    </w:p>
    <w:p w14:paraId="55D87C6C" w14:textId="77777777" w:rsidR="00CF5FFE" w:rsidRPr="00836B63" w:rsidRDefault="00CF5FFE" w:rsidP="00CF5FFE">
      <w:pPr>
        <w:numPr>
          <w:ilvl w:val="0"/>
          <w:numId w:val="2"/>
        </w:numPr>
        <w:spacing w:after="0" w:line="240" w:lineRule="auto"/>
        <w:contextualSpacing/>
        <w:jc w:val="both"/>
        <w:rPr>
          <w:rFonts w:asciiTheme="minorHAnsi" w:eastAsia="Arial" w:hAnsiTheme="minorHAnsi" w:cstheme="minorHAnsi"/>
          <w:lang w:val="en-GB" w:eastAsia="fr-CA"/>
        </w:rPr>
      </w:pPr>
      <w:r w:rsidRPr="00836B63">
        <w:rPr>
          <w:rFonts w:asciiTheme="minorHAnsi" w:eastAsia="Arial" w:hAnsiTheme="minorHAnsi" w:cstheme="minorHAnsi"/>
          <w:lang w:val="en-GB" w:eastAsia="fr-CA"/>
        </w:rPr>
        <w:lastRenderedPageBreak/>
        <w:t>In case of technical problems, respondents could send an email to our technical support team or can contact Leger by phone directly. Our technical support team was available throughout fieldwork to assist with their difficulties if any.</w:t>
      </w:r>
    </w:p>
    <w:p w14:paraId="6D2A0D47" w14:textId="77777777" w:rsidR="00CF5FFE" w:rsidRPr="00836B63" w:rsidRDefault="00CF5FFE" w:rsidP="00CF5FFE">
      <w:pPr>
        <w:spacing w:after="0" w:line="240" w:lineRule="auto"/>
        <w:jc w:val="both"/>
        <w:rPr>
          <w:rFonts w:asciiTheme="minorHAnsi" w:eastAsia="Arial" w:hAnsiTheme="minorHAnsi" w:cstheme="minorHAnsi"/>
          <w:lang w:val="en-GB" w:eastAsia="fr-CA"/>
        </w:rPr>
      </w:pPr>
    </w:p>
    <w:p w14:paraId="014C5907" w14:textId="77777777" w:rsidR="00CF5FFE" w:rsidRPr="00836B63" w:rsidRDefault="00CF5FFE" w:rsidP="00CF5FFE">
      <w:pPr>
        <w:pStyle w:val="Heading2"/>
        <w:rPr>
          <w:lang w:val="en-CA"/>
        </w:rPr>
      </w:pPr>
      <w:bookmarkStart w:id="24" w:name="_Toc157678875"/>
      <w:r w:rsidRPr="00836B63">
        <w:rPr>
          <w:lang w:val="en-CA"/>
        </w:rPr>
        <w:t>1.9 Compensation</w:t>
      </w:r>
      <w:bookmarkEnd w:id="24"/>
    </w:p>
    <w:p w14:paraId="69001B4F" w14:textId="77777777" w:rsidR="00CF5FFE" w:rsidRPr="00836B63" w:rsidRDefault="00CF5FFE" w:rsidP="00CF5FFE">
      <w:pPr>
        <w:keepNext/>
        <w:spacing w:before="240" w:after="160"/>
        <w:jc w:val="both"/>
        <w:rPr>
          <w:rFonts w:asciiTheme="minorHAnsi" w:eastAsia="Times New Roman" w:hAnsiTheme="minorHAnsi" w:cstheme="minorHAnsi"/>
          <w:lang w:val="en-CA"/>
        </w:rPr>
      </w:pPr>
      <w:r w:rsidRPr="00836B63">
        <w:rPr>
          <w:rFonts w:asciiTheme="minorHAnsi" w:eastAsia="Times New Roman" w:hAnsiTheme="minorHAnsi" w:cstheme="minorHAnsi"/>
          <w:lang w:val="en-CA"/>
        </w:rPr>
        <w:t xml:space="preserve">All panelists received an incentive to participate in our surveys. The incentive to complete a 20-minute questionnaire is $2.00. </w:t>
      </w:r>
    </w:p>
    <w:p w14:paraId="25C9E239" w14:textId="77777777" w:rsidR="0083227E" w:rsidRDefault="0083227E"/>
    <w:sectPr w:rsidR="008322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2CAB"/>
    <w:multiLevelType w:val="hybridMultilevel"/>
    <w:tmpl w:val="9A4AB5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612D374B"/>
    <w:multiLevelType w:val="multilevel"/>
    <w:tmpl w:val="C7CC9A2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70001225"/>
    <w:multiLevelType w:val="hybridMultilevel"/>
    <w:tmpl w:val="88DE3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369525">
    <w:abstractNumId w:val="1"/>
  </w:num>
  <w:num w:numId="2" w16cid:durableId="793211557">
    <w:abstractNumId w:val="0"/>
  </w:num>
  <w:num w:numId="3" w16cid:durableId="20607438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FFE"/>
    <w:rsid w:val="001D3A47"/>
    <w:rsid w:val="006E0A90"/>
    <w:rsid w:val="0083227E"/>
    <w:rsid w:val="008C0E5E"/>
    <w:rsid w:val="00CB5471"/>
    <w:rsid w:val="00CF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84CFC"/>
  <w15:chartTrackingRefBased/>
  <w15:docId w15:val="{E6BFAE21-3278-4FE2-A891-2517833AC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FFE"/>
    <w:pPr>
      <w:spacing w:after="200" w:line="276" w:lineRule="auto"/>
    </w:pPr>
    <w:rPr>
      <w:rFonts w:ascii="Calibri" w:eastAsia="Calibri" w:hAnsi="Calibri" w:cs="Times New Roman"/>
      <w:kern w:val="0"/>
      <w:lang w:val="fr-CA"/>
      <w14:ligatures w14:val="none"/>
    </w:rPr>
  </w:style>
  <w:style w:type="paragraph" w:styleId="Heading1">
    <w:name w:val="heading 1"/>
    <w:basedOn w:val="Normal"/>
    <w:next w:val="Normal"/>
    <w:link w:val="Heading1Char"/>
    <w:uiPriority w:val="9"/>
    <w:qFormat/>
    <w:rsid w:val="00CF5F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qFormat/>
    <w:rsid w:val="00CF5FF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FFE"/>
    <w:rPr>
      <w:rFonts w:ascii="Cambria" w:eastAsia="Times New Roman" w:hAnsi="Cambria" w:cs="Times New Roman"/>
      <w:b/>
      <w:bCs/>
      <w:kern w:val="32"/>
      <w:sz w:val="32"/>
      <w:szCs w:val="32"/>
      <w:lang w:val="fr-CA"/>
      <w14:ligatures w14:val="none"/>
    </w:rPr>
  </w:style>
  <w:style w:type="character" w:customStyle="1" w:styleId="Heading2Char">
    <w:name w:val="Heading 2 Char"/>
    <w:basedOn w:val="DefaultParagraphFont"/>
    <w:link w:val="Heading2"/>
    <w:uiPriority w:val="9"/>
    <w:rsid w:val="00CF5FFE"/>
    <w:rPr>
      <w:rFonts w:ascii="Cambria" w:eastAsia="Times New Roman" w:hAnsi="Cambria" w:cs="Times New Roman"/>
      <w:b/>
      <w:bCs/>
      <w:i/>
      <w:iCs/>
      <w:kern w:val="0"/>
      <w:sz w:val="28"/>
      <w:szCs w:val="28"/>
      <w:lang w:val="fr-CA"/>
      <w14:ligatures w14:val="none"/>
    </w:rPr>
  </w:style>
  <w:style w:type="paragraph" w:customStyle="1" w:styleId="1Report">
    <w:name w:val="1_Report"/>
    <w:basedOn w:val="Normal"/>
    <w:qFormat/>
    <w:rsid w:val="00CF5FFE"/>
    <w:pPr>
      <w:autoSpaceDE w:val="0"/>
      <w:autoSpaceDN w:val="0"/>
      <w:adjustRightInd w:val="0"/>
      <w:spacing w:after="0" w:line="288" w:lineRule="auto"/>
      <w:textAlignment w:val="center"/>
    </w:pPr>
    <w:rPr>
      <w:rFonts w:cs="Calibri"/>
      <w:color w:val="EE3B33"/>
      <w:sz w:val="46"/>
      <w:szCs w:val="46"/>
      <w:lang w:eastAsia="fr-CA"/>
    </w:rPr>
  </w:style>
  <w:style w:type="paragraph" w:customStyle="1" w:styleId="2Title">
    <w:name w:val="2_Title"/>
    <w:basedOn w:val="Normal"/>
    <w:qFormat/>
    <w:rsid w:val="00CF5FFE"/>
    <w:pPr>
      <w:autoSpaceDE w:val="0"/>
      <w:autoSpaceDN w:val="0"/>
      <w:adjustRightInd w:val="0"/>
      <w:spacing w:before="1840" w:after="0" w:line="640" w:lineRule="atLeast"/>
      <w:textAlignment w:val="center"/>
    </w:pPr>
    <w:rPr>
      <w:rFonts w:cs="Calibri-Bold"/>
      <w:b/>
      <w:bCs/>
      <w:caps/>
      <w:color w:val="000000"/>
      <w:sz w:val="48"/>
      <w:szCs w:val="48"/>
      <w:lang w:eastAsia="fr-CA"/>
    </w:rPr>
  </w:style>
  <w:style w:type="paragraph" w:customStyle="1" w:styleId="3Subtitle">
    <w:name w:val="3_Subtitle"/>
    <w:basedOn w:val="Normal"/>
    <w:next w:val="2Title"/>
    <w:qFormat/>
    <w:rsid w:val="00CF5FFE"/>
    <w:pPr>
      <w:autoSpaceDE w:val="0"/>
      <w:autoSpaceDN w:val="0"/>
      <w:adjustRightInd w:val="0"/>
      <w:spacing w:after="0" w:line="640" w:lineRule="atLeast"/>
      <w:textAlignment w:val="center"/>
    </w:pPr>
    <w:rPr>
      <w:rFonts w:cs="Calibri"/>
      <w:color w:val="000000"/>
      <w:sz w:val="40"/>
      <w:szCs w:val="40"/>
      <w:lang w:eastAsia="fr-CA"/>
    </w:rPr>
  </w:style>
  <w:style w:type="character" w:styleId="Hyperlink">
    <w:name w:val="Hyperlink"/>
    <w:uiPriority w:val="99"/>
    <w:unhideWhenUsed/>
    <w:rsid w:val="00CF5F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r-rop@pco-bcp.gc.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cbourque@leger360.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rop@pco-bcp.gc.ca" TargetMode="External"/><Relationship Id="rId11" Type="http://schemas.openxmlformats.org/officeDocument/2006/relationships/image" Target="media/image3.emf"/><Relationship Id="rId5" Type="http://schemas.openxmlformats.org/officeDocument/2006/relationships/image" Target="media/image1.png"/><Relationship Id="rId10" Type="http://schemas.openxmlformats.org/officeDocument/2006/relationships/hyperlink" Target="http://www.tbs-sct.gc.ca/pol/doc-eng.aspx?id=30682" TargetMode="External"/><Relationship Id="rId4" Type="http://schemas.openxmlformats.org/officeDocument/2006/relationships/webSettings" Target="webSettings.xml"/><Relationship Id="rId9" Type="http://schemas.openxmlformats.org/officeDocument/2006/relationships/hyperlink" Target="http://www.tbs-sct.gc.ca/pol/doc-eng.aspx?id=3068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1626</Words>
  <Characters>9269</Characters>
  <Application>Microsoft Office Word</Application>
  <DocSecurity>0</DocSecurity>
  <Lines>77</Lines>
  <Paragraphs>21</Paragraphs>
  <ScaleCrop>false</ScaleCrop>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Laflamme, Geneviève</dc:creator>
  <cp:keywords/>
  <dc:description/>
  <cp:lastModifiedBy>Laflamme, Geneviève</cp:lastModifiedBy>
  <cp:revision>2</cp:revision>
  <dcterms:created xsi:type="dcterms:W3CDTF">2024-12-19T13:18:00Z</dcterms:created>
  <dcterms:modified xsi:type="dcterms:W3CDTF">2024-12-19T13:18:00Z</dcterms:modified>
</cp:coreProperties>
</file>