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99" w:rsidRDefault="008A0B99" w:rsidP="008A0B99">
      <w:pPr>
        <w:spacing w:after="100" w:afterAutospacing="1"/>
        <w:outlineLvl w:val="1"/>
        <w:rPr>
          <w:rFonts w:ascii="Verdana" w:hAnsi="Verdana"/>
          <w:b/>
          <w:bCs/>
          <w:color w:val="336699"/>
          <w:kern w:val="36"/>
          <w:sz w:val="30"/>
          <w:szCs w:val="30"/>
        </w:rPr>
      </w:pPr>
      <w:bookmarkStart w:id="0" w:name="cont"/>
      <w:r>
        <w:rPr>
          <w:rFonts w:ascii="Verdana" w:hAnsi="Verdana"/>
          <w:b/>
          <w:bCs/>
          <w:color w:val="336699"/>
          <w:kern w:val="36"/>
          <w:sz w:val="30"/>
          <w:szCs w:val="30"/>
        </w:rPr>
        <w:t>Assessment Framework</w:t>
      </w:r>
      <w:bookmarkEnd w:id="0"/>
    </w:p>
    <w:p w:rsidR="008A0B99" w:rsidRDefault="008A0B99" w:rsidP="008A0B99">
      <w:pPr>
        <w:pStyle w:val="Heading2"/>
        <w:rPr>
          <w:sz w:val="27"/>
          <w:szCs w:val="27"/>
        </w:rPr>
      </w:pPr>
      <w:r>
        <w:rPr>
          <w:sz w:val="27"/>
          <w:szCs w:val="27"/>
        </w:rPr>
        <w:t>Introduction</w:t>
      </w:r>
    </w:p>
    <w:p w:rsidR="008A0B99" w:rsidRDefault="008A0B99" w:rsidP="008A0B99">
      <w:pPr>
        <w:shd w:val="clear" w:color="auto" w:fill="FFFFFF"/>
        <w:rPr>
          <w:rFonts w:ascii="Verdana" w:hAnsi="Verdana"/>
          <w:color w:val="000000"/>
          <w:sz w:val="19"/>
          <w:szCs w:val="19"/>
        </w:rPr>
      </w:pPr>
      <w:r>
        <w:rPr>
          <w:rFonts w:ascii="Verdana" w:hAnsi="Verdana"/>
          <w:color w:val="000000"/>
          <w:sz w:val="19"/>
          <w:szCs w:val="19"/>
        </w:rPr>
        <w:t xml:space="preserve">In 2006, the Office of the Auditor General </w:t>
      </w:r>
      <w:r w:rsidR="00002B3A">
        <w:rPr>
          <w:rFonts w:ascii="Verdana" w:hAnsi="Verdana"/>
          <w:color w:val="000000"/>
          <w:sz w:val="19"/>
          <w:szCs w:val="19"/>
        </w:rPr>
        <w:t xml:space="preserve">(OAG) </w:t>
      </w:r>
      <w:r w:rsidR="006B0681">
        <w:rPr>
          <w:rFonts w:ascii="Verdana" w:hAnsi="Verdana"/>
          <w:color w:val="000000"/>
          <w:sz w:val="19"/>
          <w:szCs w:val="19"/>
        </w:rPr>
        <w:t xml:space="preserve">identified a requirement (Management Action Plan) for the directorate to establish a process to monitor and control the use of the Professional Services (PS) Online System to ensure </w:t>
      </w:r>
      <w:r>
        <w:rPr>
          <w:rFonts w:ascii="Verdana" w:hAnsi="Verdana"/>
          <w:color w:val="000000"/>
          <w:sz w:val="19"/>
          <w:szCs w:val="19"/>
        </w:rPr>
        <w:t>federal departments and agencies:</w:t>
      </w:r>
    </w:p>
    <w:p w:rsidR="008A0B99" w:rsidRDefault="008A0B99" w:rsidP="008A0B99">
      <w:pPr>
        <w:numPr>
          <w:ilvl w:val="0"/>
          <w:numId w:val="1"/>
        </w:numPr>
        <w:shd w:val="clear" w:color="auto" w:fill="FFFFFF"/>
        <w:spacing w:before="100" w:beforeAutospacing="1" w:after="100" w:afterAutospacing="1"/>
        <w:rPr>
          <w:rFonts w:ascii="Verdana" w:hAnsi="Verdana"/>
          <w:color w:val="000000"/>
          <w:sz w:val="19"/>
          <w:szCs w:val="19"/>
        </w:rPr>
      </w:pPr>
      <w:r>
        <w:rPr>
          <w:rFonts w:ascii="Verdana" w:hAnsi="Verdana"/>
          <w:color w:val="000000"/>
          <w:sz w:val="19"/>
          <w:szCs w:val="19"/>
        </w:rPr>
        <w:t>Follow Treasury Board Contracting Policy;</w:t>
      </w:r>
    </w:p>
    <w:p w:rsidR="008A0B99" w:rsidRDefault="008A0B99" w:rsidP="008A0B99">
      <w:pPr>
        <w:numPr>
          <w:ilvl w:val="0"/>
          <w:numId w:val="1"/>
        </w:numPr>
        <w:shd w:val="clear" w:color="auto" w:fill="FFFFFF"/>
        <w:spacing w:before="100" w:beforeAutospacing="1" w:after="100" w:afterAutospacing="1"/>
        <w:rPr>
          <w:rFonts w:ascii="Verdana" w:hAnsi="Verdana"/>
          <w:color w:val="000000"/>
          <w:sz w:val="19"/>
          <w:szCs w:val="19"/>
        </w:rPr>
      </w:pPr>
      <w:r>
        <w:rPr>
          <w:rFonts w:ascii="Verdana" w:hAnsi="Verdana"/>
          <w:color w:val="000000"/>
          <w:sz w:val="19"/>
          <w:szCs w:val="19"/>
        </w:rPr>
        <w:t xml:space="preserve">Do not use the </w:t>
      </w:r>
      <w:r w:rsidR="00193ABD">
        <w:rPr>
          <w:rFonts w:ascii="Verdana" w:hAnsi="Verdana"/>
          <w:color w:val="000000"/>
          <w:sz w:val="19"/>
          <w:szCs w:val="19"/>
        </w:rPr>
        <w:t xml:space="preserve">procurement tool </w:t>
      </w:r>
      <w:r>
        <w:rPr>
          <w:rFonts w:ascii="Verdana" w:hAnsi="Verdana"/>
          <w:color w:val="000000"/>
          <w:sz w:val="19"/>
          <w:szCs w:val="19"/>
        </w:rPr>
        <w:t xml:space="preserve">to circumvent </w:t>
      </w:r>
      <w:smartTag w:uri="urn:schemas-microsoft-com:office:smarttags" w:element="place">
        <w:smartTag w:uri="urn:schemas-microsoft-com:office:smarttags" w:element="country-region">
          <w:r>
            <w:rPr>
              <w:rFonts w:ascii="Verdana" w:hAnsi="Verdana"/>
              <w:color w:val="000000"/>
              <w:sz w:val="19"/>
              <w:szCs w:val="19"/>
            </w:rPr>
            <w:t>Canada</w:t>
          </w:r>
        </w:smartTag>
      </w:smartTag>
      <w:r>
        <w:rPr>
          <w:rFonts w:ascii="Verdana" w:hAnsi="Verdana"/>
          <w:color w:val="000000"/>
          <w:sz w:val="19"/>
          <w:szCs w:val="19"/>
        </w:rPr>
        <w:t>'s obligations under the various trade agreements.</w:t>
      </w:r>
    </w:p>
    <w:p w:rsidR="006B0681" w:rsidRDefault="006B0681" w:rsidP="00002B3A">
      <w:pPr>
        <w:autoSpaceDE w:val="0"/>
        <w:autoSpaceDN w:val="0"/>
        <w:adjustRightInd w:val="0"/>
        <w:rPr>
          <w:rFonts w:ascii="Verdana" w:hAnsi="Verdana"/>
          <w:color w:val="000000"/>
          <w:sz w:val="19"/>
          <w:szCs w:val="19"/>
        </w:rPr>
      </w:pPr>
      <w:r>
        <w:rPr>
          <w:rFonts w:ascii="Verdana" w:hAnsi="Verdana"/>
          <w:color w:val="000000"/>
          <w:sz w:val="19"/>
          <w:szCs w:val="19"/>
        </w:rPr>
        <w:t>This requirement was met in 2008, with the implementation of an assessment process (Assessment Framework)</w:t>
      </w:r>
      <w:r w:rsidR="00630092">
        <w:rPr>
          <w:rFonts w:ascii="Verdana" w:hAnsi="Verdana"/>
          <w:color w:val="000000"/>
          <w:sz w:val="19"/>
          <w:szCs w:val="19"/>
        </w:rPr>
        <w:t xml:space="preserve"> developed by the Professional Services Procurement Directorate (PSPD)</w:t>
      </w:r>
      <w:r>
        <w:rPr>
          <w:rFonts w:ascii="Verdana" w:hAnsi="Verdana"/>
          <w:color w:val="000000"/>
          <w:sz w:val="19"/>
          <w:szCs w:val="19"/>
        </w:rPr>
        <w:t>.</w:t>
      </w:r>
    </w:p>
    <w:p w:rsidR="001A1DAA" w:rsidRDefault="001A1DAA" w:rsidP="00002B3A">
      <w:pPr>
        <w:autoSpaceDE w:val="0"/>
        <w:autoSpaceDN w:val="0"/>
        <w:adjustRightInd w:val="0"/>
        <w:rPr>
          <w:rFonts w:ascii="Verdana" w:hAnsi="Verdana"/>
          <w:color w:val="000000"/>
          <w:sz w:val="19"/>
          <w:szCs w:val="19"/>
        </w:rPr>
      </w:pPr>
    </w:p>
    <w:p w:rsidR="00630092" w:rsidRDefault="001A1DAA" w:rsidP="001A1DAA">
      <w:pPr>
        <w:autoSpaceDE w:val="0"/>
        <w:autoSpaceDN w:val="0"/>
        <w:adjustRightInd w:val="0"/>
        <w:rPr>
          <w:rFonts w:ascii="Verdana" w:hAnsi="Verdana"/>
          <w:color w:val="000000"/>
          <w:sz w:val="19"/>
          <w:szCs w:val="19"/>
        </w:rPr>
      </w:pPr>
      <w:r>
        <w:rPr>
          <w:rFonts w:ascii="Verdana" w:hAnsi="Verdana"/>
          <w:color w:val="000000"/>
          <w:sz w:val="19"/>
          <w:szCs w:val="19"/>
        </w:rPr>
        <w:t xml:space="preserve">In 2009, the </w:t>
      </w:r>
      <w:proofErr w:type="spellStart"/>
      <w:r>
        <w:rPr>
          <w:rFonts w:ascii="Verdana" w:hAnsi="Verdana"/>
          <w:color w:val="000000"/>
          <w:sz w:val="19"/>
          <w:szCs w:val="19"/>
        </w:rPr>
        <w:t>PSOnline</w:t>
      </w:r>
      <w:proofErr w:type="spellEnd"/>
      <w:r>
        <w:rPr>
          <w:rFonts w:ascii="Verdana" w:hAnsi="Verdana"/>
          <w:color w:val="000000"/>
          <w:sz w:val="19"/>
          <w:szCs w:val="19"/>
        </w:rPr>
        <w:t xml:space="preserve"> Assessment Framework was used as a baseline to develop an Assessment Framework for Temporary Help Services (THS) On-Line.  </w:t>
      </w:r>
      <w:r w:rsidRPr="00624FB3">
        <w:rPr>
          <w:rFonts w:ascii="Verdana" w:hAnsi="Verdana"/>
          <w:color w:val="000000"/>
          <w:sz w:val="19"/>
          <w:szCs w:val="19"/>
        </w:rPr>
        <w:t xml:space="preserve">Although </w:t>
      </w:r>
      <w:r w:rsidR="00624FB3">
        <w:rPr>
          <w:rFonts w:ascii="Verdana" w:hAnsi="Verdana"/>
          <w:color w:val="000000"/>
          <w:sz w:val="19"/>
          <w:szCs w:val="19"/>
        </w:rPr>
        <w:t xml:space="preserve">a THS Assessment Framework was </w:t>
      </w:r>
      <w:r w:rsidRPr="00624FB3">
        <w:rPr>
          <w:rFonts w:ascii="Verdana" w:hAnsi="Verdana"/>
          <w:color w:val="000000"/>
          <w:sz w:val="19"/>
          <w:szCs w:val="19"/>
        </w:rPr>
        <w:t xml:space="preserve">established, actual assessments of Federal Department </w:t>
      </w:r>
      <w:r w:rsidR="00BC7ED5">
        <w:rPr>
          <w:rFonts w:ascii="Verdana" w:hAnsi="Verdana"/>
          <w:color w:val="000000"/>
          <w:sz w:val="19"/>
          <w:szCs w:val="19"/>
        </w:rPr>
        <w:t xml:space="preserve">THS </w:t>
      </w:r>
      <w:r w:rsidRPr="00624FB3">
        <w:rPr>
          <w:rFonts w:ascii="Verdana" w:hAnsi="Verdana"/>
          <w:color w:val="000000"/>
          <w:sz w:val="19"/>
          <w:szCs w:val="19"/>
        </w:rPr>
        <w:t>Use</w:t>
      </w:r>
      <w:r w:rsidR="00630092" w:rsidRPr="00624FB3">
        <w:rPr>
          <w:rFonts w:ascii="Verdana" w:hAnsi="Verdana"/>
          <w:color w:val="000000"/>
          <w:sz w:val="19"/>
          <w:szCs w:val="19"/>
        </w:rPr>
        <w:t xml:space="preserve">rs </w:t>
      </w:r>
      <w:r w:rsidR="00BC7ED5">
        <w:rPr>
          <w:rFonts w:ascii="Verdana" w:hAnsi="Verdana"/>
          <w:color w:val="000000"/>
          <w:sz w:val="19"/>
          <w:szCs w:val="19"/>
        </w:rPr>
        <w:t>were</w:t>
      </w:r>
      <w:r w:rsidR="00630092" w:rsidRPr="00624FB3">
        <w:rPr>
          <w:rFonts w:ascii="Verdana" w:hAnsi="Verdana"/>
          <w:color w:val="000000"/>
          <w:sz w:val="19"/>
          <w:szCs w:val="19"/>
        </w:rPr>
        <w:t xml:space="preserve"> not </w:t>
      </w:r>
      <w:r w:rsidR="00624FB3">
        <w:rPr>
          <w:rFonts w:ascii="Verdana" w:hAnsi="Verdana"/>
          <w:color w:val="000000"/>
          <w:sz w:val="19"/>
          <w:szCs w:val="19"/>
        </w:rPr>
        <w:t xml:space="preserve">undertaken </w:t>
      </w:r>
      <w:r w:rsidR="00630092" w:rsidRPr="00624FB3">
        <w:rPr>
          <w:rFonts w:ascii="Verdana" w:hAnsi="Verdana"/>
          <w:color w:val="000000"/>
          <w:sz w:val="19"/>
          <w:szCs w:val="19"/>
        </w:rPr>
        <w:t>until 2011 (see below).</w:t>
      </w:r>
    </w:p>
    <w:p w:rsidR="00630092" w:rsidRDefault="00630092" w:rsidP="001A1DAA">
      <w:pPr>
        <w:autoSpaceDE w:val="0"/>
        <w:autoSpaceDN w:val="0"/>
        <w:adjustRightInd w:val="0"/>
        <w:rPr>
          <w:rFonts w:ascii="Verdana" w:hAnsi="Verdana"/>
          <w:color w:val="000000"/>
          <w:sz w:val="19"/>
          <w:szCs w:val="19"/>
        </w:rPr>
      </w:pPr>
    </w:p>
    <w:p w:rsidR="00630092" w:rsidRDefault="00630092" w:rsidP="001A1DAA">
      <w:pPr>
        <w:autoSpaceDE w:val="0"/>
        <w:autoSpaceDN w:val="0"/>
        <w:adjustRightInd w:val="0"/>
        <w:rPr>
          <w:rFonts w:ascii="Verdana" w:hAnsi="Verdana"/>
          <w:sz w:val="19"/>
          <w:szCs w:val="19"/>
        </w:rPr>
      </w:pPr>
      <w:r w:rsidRPr="00630092">
        <w:rPr>
          <w:rFonts w:ascii="Verdana" w:hAnsi="Verdana"/>
          <w:color w:val="000000"/>
          <w:sz w:val="19"/>
          <w:szCs w:val="19"/>
        </w:rPr>
        <w:t>I</w:t>
      </w:r>
      <w:r w:rsidR="001A1DAA" w:rsidRPr="00630092">
        <w:rPr>
          <w:rFonts w:ascii="Verdana" w:hAnsi="Verdana"/>
          <w:color w:val="000000"/>
          <w:sz w:val="19"/>
          <w:szCs w:val="19"/>
        </w:rPr>
        <w:t>n 2010</w:t>
      </w:r>
      <w:r w:rsidRPr="00630092">
        <w:rPr>
          <w:rFonts w:ascii="Verdana" w:hAnsi="Verdana"/>
          <w:color w:val="000000"/>
          <w:sz w:val="19"/>
          <w:szCs w:val="19"/>
        </w:rPr>
        <w:t>, t</w:t>
      </w:r>
      <w:r w:rsidR="001A1DAA" w:rsidRPr="00630092">
        <w:rPr>
          <w:rFonts w:ascii="Verdana" w:hAnsi="Verdana"/>
          <w:color w:val="000000"/>
          <w:sz w:val="19"/>
          <w:szCs w:val="19"/>
        </w:rPr>
        <w:t xml:space="preserve">he Office of Audit and Evaluation </w:t>
      </w:r>
      <w:r w:rsidRPr="00630092">
        <w:rPr>
          <w:rFonts w:ascii="Verdana" w:hAnsi="Verdana"/>
          <w:color w:val="000000"/>
          <w:sz w:val="19"/>
          <w:szCs w:val="19"/>
        </w:rPr>
        <w:t xml:space="preserve">established a mandate </w:t>
      </w:r>
      <w:r w:rsidR="001A1DAA" w:rsidRPr="00630092">
        <w:rPr>
          <w:rFonts w:ascii="Verdana" w:hAnsi="Verdana"/>
          <w:color w:val="000000"/>
          <w:sz w:val="19"/>
          <w:szCs w:val="19"/>
        </w:rPr>
        <w:t>“t</w:t>
      </w:r>
      <w:r w:rsidR="001A1DAA" w:rsidRPr="00630092">
        <w:rPr>
          <w:rFonts w:ascii="Verdana" w:hAnsi="Verdana"/>
          <w:sz w:val="19"/>
          <w:szCs w:val="19"/>
        </w:rPr>
        <w:t xml:space="preserve">o allow PWGSC to </w:t>
      </w:r>
      <w:r w:rsidR="003C3DC0" w:rsidRPr="00630092">
        <w:rPr>
          <w:rFonts w:ascii="Verdana" w:hAnsi="Verdana"/>
          <w:sz w:val="19"/>
          <w:szCs w:val="19"/>
        </w:rPr>
        <w:t xml:space="preserve">discharge </w:t>
      </w:r>
      <w:r w:rsidR="003C3DC0">
        <w:rPr>
          <w:rFonts w:ascii="Verdana" w:hAnsi="Verdana"/>
          <w:sz w:val="19"/>
          <w:szCs w:val="19"/>
        </w:rPr>
        <w:t>its</w:t>
      </w:r>
      <w:r w:rsidR="001A1DAA" w:rsidRPr="00630092">
        <w:rPr>
          <w:rFonts w:ascii="Verdana" w:hAnsi="Verdana"/>
          <w:sz w:val="19"/>
          <w:szCs w:val="19"/>
        </w:rPr>
        <w:t xml:space="preserve"> responsibilities related to the monitoring of the usage of PWGSC procurement vehicles</w:t>
      </w:r>
      <w:r w:rsidRPr="00630092">
        <w:rPr>
          <w:rFonts w:ascii="Verdana" w:hAnsi="Verdana"/>
          <w:sz w:val="19"/>
          <w:szCs w:val="19"/>
        </w:rPr>
        <w:t xml:space="preserve">” and </w:t>
      </w:r>
      <w:r w:rsidR="001A1DAA" w:rsidRPr="00630092">
        <w:rPr>
          <w:rFonts w:ascii="Verdana" w:hAnsi="Verdana"/>
          <w:sz w:val="19"/>
          <w:szCs w:val="19"/>
        </w:rPr>
        <w:t>launch</w:t>
      </w:r>
      <w:r w:rsidRPr="00630092">
        <w:rPr>
          <w:rFonts w:ascii="Verdana" w:hAnsi="Verdana"/>
          <w:sz w:val="19"/>
          <w:szCs w:val="19"/>
        </w:rPr>
        <w:t>ed</w:t>
      </w:r>
      <w:r w:rsidR="001A1DAA" w:rsidRPr="00630092">
        <w:rPr>
          <w:rFonts w:ascii="Verdana" w:hAnsi="Verdana"/>
          <w:sz w:val="19"/>
          <w:szCs w:val="19"/>
        </w:rPr>
        <w:t xml:space="preserve"> </w:t>
      </w:r>
      <w:r>
        <w:rPr>
          <w:rFonts w:ascii="Verdana" w:hAnsi="Verdana"/>
          <w:sz w:val="19"/>
          <w:szCs w:val="19"/>
        </w:rPr>
        <w:t>“</w:t>
      </w:r>
      <w:r w:rsidR="001A1DAA" w:rsidRPr="00630092">
        <w:rPr>
          <w:rFonts w:ascii="Verdana" w:hAnsi="Verdana"/>
          <w:sz w:val="19"/>
          <w:szCs w:val="19"/>
        </w:rPr>
        <w:t>a continuous review program to monitor the usage of contracts awarded by other government departments (OGDs) using these vehicles.”</w:t>
      </w:r>
      <w:r>
        <w:rPr>
          <w:rFonts w:ascii="Verdana" w:hAnsi="Verdana"/>
          <w:sz w:val="19"/>
          <w:szCs w:val="19"/>
        </w:rPr>
        <w:t xml:space="preserve">  </w:t>
      </w:r>
    </w:p>
    <w:p w:rsidR="00630092" w:rsidRDefault="00630092" w:rsidP="001A1DAA">
      <w:pPr>
        <w:autoSpaceDE w:val="0"/>
        <w:autoSpaceDN w:val="0"/>
        <w:adjustRightInd w:val="0"/>
        <w:rPr>
          <w:rFonts w:ascii="Verdana" w:hAnsi="Verdana"/>
          <w:sz w:val="19"/>
          <w:szCs w:val="19"/>
        </w:rPr>
      </w:pPr>
    </w:p>
    <w:p w:rsidR="00630092" w:rsidRDefault="00630092" w:rsidP="001A1DAA">
      <w:pPr>
        <w:autoSpaceDE w:val="0"/>
        <w:autoSpaceDN w:val="0"/>
        <w:adjustRightInd w:val="0"/>
        <w:rPr>
          <w:rFonts w:ascii="Verdana" w:hAnsi="Verdana"/>
          <w:sz w:val="19"/>
          <w:szCs w:val="19"/>
        </w:rPr>
      </w:pPr>
      <w:r>
        <w:rPr>
          <w:rFonts w:ascii="Verdana" w:hAnsi="Verdana"/>
          <w:sz w:val="19"/>
          <w:szCs w:val="19"/>
        </w:rPr>
        <w:t xml:space="preserve">In 2011, in response to the mandate of the Office of Audit and Evaluation, a pilot </w:t>
      </w:r>
      <w:r w:rsidR="003C3DC0">
        <w:rPr>
          <w:rFonts w:ascii="Verdana" w:hAnsi="Verdana"/>
          <w:sz w:val="19"/>
          <w:szCs w:val="19"/>
        </w:rPr>
        <w:t xml:space="preserve">assessment </w:t>
      </w:r>
      <w:r>
        <w:rPr>
          <w:rFonts w:ascii="Verdana" w:hAnsi="Verdana"/>
          <w:sz w:val="19"/>
          <w:szCs w:val="19"/>
        </w:rPr>
        <w:t>project for THS was completed</w:t>
      </w:r>
      <w:r w:rsidR="003C3DC0">
        <w:rPr>
          <w:rFonts w:ascii="Verdana" w:hAnsi="Verdana"/>
          <w:sz w:val="19"/>
          <w:szCs w:val="19"/>
        </w:rPr>
        <w:t xml:space="preserve">, </w:t>
      </w:r>
      <w:r>
        <w:rPr>
          <w:rFonts w:ascii="Verdana" w:hAnsi="Verdana"/>
          <w:sz w:val="19"/>
          <w:szCs w:val="19"/>
        </w:rPr>
        <w:t>based on the Assessment Framework developed for THS On-Line in 2009.</w:t>
      </w:r>
      <w:r w:rsidR="001E4DCD">
        <w:rPr>
          <w:rFonts w:ascii="Verdana" w:hAnsi="Verdana"/>
          <w:sz w:val="19"/>
          <w:szCs w:val="19"/>
        </w:rPr>
        <w:t xml:space="preserve">  This work involved the </w:t>
      </w:r>
      <w:r w:rsidR="001E4DCD">
        <w:rPr>
          <w:rFonts w:ascii="Verdana" w:hAnsi="Verdana" w:cs="Arial"/>
          <w:sz w:val="19"/>
          <w:szCs w:val="19"/>
          <w:lang w:val="en-CA"/>
        </w:rPr>
        <w:t xml:space="preserve">Client Engagement Sector (CES) and the Services and Technology Acquisitions Management Sector (STAMS).  </w:t>
      </w:r>
    </w:p>
    <w:p w:rsidR="00630092" w:rsidRDefault="00630092" w:rsidP="001A1DAA">
      <w:pPr>
        <w:autoSpaceDE w:val="0"/>
        <w:autoSpaceDN w:val="0"/>
        <w:adjustRightInd w:val="0"/>
        <w:rPr>
          <w:rFonts w:ascii="Verdana" w:hAnsi="Verdana"/>
          <w:sz w:val="19"/>
          <w:szCs w:val="19"/>
        </w:rPr>
      </w:pPr>
    </w:p>
    <w:p w:rsidR="00AF1FB4" w:rsidRDefault="00630092" w:rsidP="00002B3A">
      <w:pPr>
        <w:autoSpaceDE w:val="0"/>
        <w:autoSpaceDN w:val="0"/>
        <w:adjustRightInd w:val="0"/>
        <w:rPr>
          <w:rFonts w:ascii="Verdana" w:hAnsi="Verdana" w:cs="Arial"/>
          <w:sz w:val="19"/>
          <w:szCs w:val="19"/>
          <w:lang w:val="en-CA"/>
        </w:rPr>
      </w:pPr>
      <w:r>
        <w:rPr>
          <w:rFonts w:ascii="Verdana" w:hAnsi="Verdana"/>
          <w:sz w:val="19"/>
          <w:szCs w:val="19"/>
        </w:rPr>
        <w:t xml:space="preserve">Also in 2011, </w:t>
      </w:r>
      <w:r w:rsidR="00193ABD">
        <w:rPr>
          <w:rFonts w:ascii="Verdana" w:hAnsi="Verdana"/>
          <w:color w:val="000000"/>
          <w:sz w:val="19"/>
          <w:szCs w:val="19"/>
        </w:rPr>
        <w:t>the Office of the Procurement Ombudsman</w:t>
      </w:r>
      <w:r w:rsidR="001E4DCD">
        <w:rPr>
          <w:rFonts w:ascii="Verdana" w:hAnsi="Verdana"/>
          <w:color w:val="000000"/>
          <w:sz w:val="19"/>
          <w:szCs w:val="19"/>
        </w:rPr>
        <w:t xml:space="preserve"> (OPO)</w:t>
      </w:r>
      <w:r w:rsidR="00193ABD">
        <w:rPr>
          <w:rFonts w:ascii="Verdana" w:hAnsi="Verdana"/>
          <w:color w:val="000000"/>
          <w:sz w:val="19"/>
          <w:szCs w:val="19"/>
        </w:rPr>
        <w:t>,</w:t>
      </w:r>
      <w:r>
        <w:rPr>
          <w:rFonts w:ascii="Verdana" w:hAnsi="Verdana"/>
          <w:color w:val="000000"/>
          <w:sz w:val="19"/>
          <w:szCs w:val="19"/>
        </w:rPr>
        <w:t xml:space="preserve"> </w:t>
      </w:r>
      <w:proofErr w:type="gramStart"/>
      <w:r>
        <w:rPr>
          <w:rFonts w:ascii="Verdana" w:hAnsi="Verdana"/>
          <w:color w:val="000000"/>
          <w:sz w:val="19"/>
          <w:szCs w:val="19"/>
        </w:rPr>
        <w:t xml:space="preserve">completed </w:t>
      </w:r>
      <w:r w:rsidR="00193ABD">
        <w:rPr>
          <w:rFonts w:ascii="Verdana" w:hAnsi="Verdana"/>
          <w:color w:val="000000"/>
          <w:sz w:val="19"/>
          <w:szCs w:val="19"/>
        </w:rPr>
        <w:t xml:space="preserve"> a</w:t>
      </w:r>
      <w:proofErr w:type="gramEnd"/>
      <w:r w:rsidR="00193ABD">
        <w:rPr>
          <w:rFonts w:ascii="Verdana" w:hAnsi="Verdana"/>
          <w:color w:val="000000"/>
          <w:sz w:val="19"/>
          <w:szCs w:val="19"/>
        </w:rPr>
        <w:t xml:space="preserve"> review of th</w:t>
      </w:r>
      <w:r>
        <w:rPr>
          <w:rFonts w:ascii="Verdana" w:hAnsi="Verdana"/>
          <w:color w:val="000000"/>
          <w:sz w:val="19"/>
          <w:szCs w:val="19"/>
        </w:rPr>
        <w:t xml:space="preserve">e </w:t>
      </w:r>
      <w:proofErr w:type="spellStart"/>
      <w:r>
        <w:rPr>
          <w:rFonts w:ascii="Verdana" w:hAnsi="Verdana"/>
          <w:color w:val="000000"/>
          <w:sz w:val="19"/>
          <w:szCs w:val="19"/>
        </w:rPr>
        <w:t>PS</w:t>
      </w:r>
      <w:r w:rsidR="00193ABD">
        <w:rPr>
          <w:rFonts w:ascii="Verdana" w:hAnsi="Verdana"/>
          <w:color w:val="000000"/>
          <w:sz w:val="19"/>
          <w:szCs w:val="19"/>
        </w:rPr>
        <w:t>Online</w:t>
      </w:r>
      <w:proofErr w:type="spellEnd"/>
      <w:r w:rsidR="00193ABD">
        <w:rPr>
          <w:rFonts w:ascii="Verdana" w:hAnsi="Verdana"/>
          <w:color w:val="000000"/>
          <w:sz w:val="19"/>
          <w:szCs w:val="19"/>
        </w:rPr>
        <w:t xml:space="preserve"> </w:t>
      </w:r>
      <w:r w:rsidR="006B0681">
        <w:rPr>
          <w:rFonts w:ascii="Verdana" w:hAnsi="Verdana"/>
          <w:color w:val="000000"/>
          <w:sz w:val="19"/>
          <w:szCs w:val="19"/>
        </w:rPr>
        <w:t xml:space="preserve">automated </w:t>
      </w:r>
      <w:r w:rsidR="00193ABD">
        <w:rPr>
          <w:rFonts w:ascii="Verdana" w:hAnsi="Verdana"/>
          <w:color w:val="000000"/>
          <w:sz w:val="19"/>
          <w:szCs w:val="19"/>
        </w:rPr>
        <w:t>procurement tool</w:t>
      </w:r>
      <w:r w:rsidR="006B0681">
        <w:rPr>
          <w:rFonts w:ascii="Verdana" w:hAnsi="Verdana"/>
          <w:color w:val="000000"/>
          <w:sz w:val="19"/>
          <w:szCs w:val="19"/>
        </w:rPr>
        <w:t xml:space="preserve">, </w:t>
      </w:r>
      <w:r w:rsidR="00095DB8">
        <w:rPr>
          <w:rFonts w:ascii="Verdana" w:hAnsi="Verdana"/>
          <w:color w:val="000000"/>
          <w:sz w:val="19"/>
          <w:szCs w:val="19"/>
        </w:rPr>
        <w:t xml:space="preserve">including the assessment process used to </w:t>
      </w:r>
      <w:r w:rsidR="006B0681">
        <w:rPr>
          <w:rFonts w:ascii="Verdana" w:hAnsi="Verdana"/>
          <w:color w:val="000000"/>
          <w:sz w:val="19"/>
          <w:szCs w:val="19"/>
        </w:rPr>
        <w:t>monitor and control the use of this self-serve procurement tool</w:t>
      </w:r>
      <w:r w:rsidR="00622346">
        <w:rPr>
          <w:rFonts w:ascii="Verdana" w:hAnsi="Verdana"/>
          <w:color w:val="000000"/>
          <w:sz w:val="19"/>
          <w:szCs w:val="19"/>
        </w:rPr>
        <w:t xml:space="preserve">.  A report, </w:t>
      </w:r>
      <w:hyperlink r:id="rId7" w:history="1">
        <w:r w:rsidR="00622346" w:rsidRPr="00864468">
          <w:rPr>
            <w:rFonts w:ascii="Verdana" w:hAnsi="Verdana" w:cs="Arial"/>
            <w:color w:val="0000FF"/>
            <w:sz w:val="19"/>
            <w:szCs w:val="19"/>
            <w:u w:val="single"/>
            <w:lang w:val="en-CA" w:eastAsia="fr-CA"/>
          </w:rPr>
          <w:t>Procurement Pra</w:t>
        </w:r>
        <w:r w:rsidR="00622346" w:rsidRPr="00864468">
          <w:rPr>
            <w:rFonts w:ascii="Verdana" w:hAnsi="Verdana" w:cs="Arial"/>
            <w:color w:val="0000FF"/>
            <w:sz w:val="19"/>
            <w:szCs w:val="19"/>
            <w:u w:val="single"/>
            <w:lang w:val="en-CA" w:eastAsia="fr-CA"/>
          </w:rPr>
          <w:t>c</w:t>
        </w:r>
        <w:r w:rsidR="00622346" w:rsidRPr="00864468">
          <w:rPr>
            <w:rFonts w:ascii="Verdana" w:hAnsi="Verdana" w:cs="Arial"/>
            <w:color w:val="0000FF"/>
            <w:sz w:val="19"/>
            <w:szCs w:val="19"/>
            <w:u w:val="single"/>
            <w:lang w:val="en-CA" w:eastAsia="fr-CA"/>
          </w:rPr>
          <w:t>tice Reviews - Professional Services Online</w:t>
        </w:r>
      </w:hyperlink>
      <w:r w:rsidR="00622346">
        <w:t xml:space="preserve"> </w:t>
      </w:r>
      <w:r w:rsidR="001E4DCD">
        <w:rPr>
          <w:rFonts w:ascii="Verdana" w:hAnsi="Verdana"/>
          <w:color w:val="000000"/>
          <w:sz w:val="19"/>
          <w:szCs w:val="19"/>
        </w:rPr>
        <w:t>was released</w:t>
      </w:r>
      <w:r w:rsidR="00C95CC9">
        <w:rPr>
          <w:rFonts w:ascii="Verdana" w:hAnsi="Verdana"/>
          <w:color w:val="000000"/>
          <w:sz w:val="19"/>
          <w:szCs w:val="19"/>
        </w:rPr>
        <w:t xml:space="preserve">, </w:t>
      </w:r>
      <w:r w:rsidR="001E4DCD">
        <w:rPr>
          <w:rFonts w:ascii="Verdana" w:hAnsi="Verdana"/>
          <w:color w:val="000000"/>
          <w:sz w:val="19"/>
          <w:szCs w:val="19"/>
        </w:rPr>
        <w:t>re-affirming</w:t>
      </w:r>
      <w:r w:rsidR="003876D7">
        <w:rPr>
          <w:rFonts w:ascii="Verdana" w:hAnsi="Verdana"/>
          <w:color w:val="000000"/>
          <w:sz w:val="19"/>
          <w:szCs w:val="19"/>
        </w:rPr>
        <w:t xml:space="preserve"> the need for and the benefits of an assessment process</w:t>
      </w:r>
      <w:r w:rsidR="00565F02">
        <w:rPr>
          <w:rFonts w:ascii="Verdana" w:hAnsi="Verdana"/>
          <w:color w:val="000000"/>
          <w:sz w:val="19"/>
          <w:szCs w:val="19"/>
        </w:rPr>
        <w:t xml:space="preserve">.  </w:t>
      </w:r>
      <w:r w:rsidR="001E4DCD">
        <w:rPr>
          <w:rFonts w:ascii="Verdana" w:hAnsi="Verdana" w:cs="Arial"/>
          <w:sz w:val="19"/>
          <w:szCs w:val="19"/>
          <w:lang w:val="en-CA"/>
        </w:rPr>
        <w:t>Changes to the process were also recommended and a Management Action Plan was established connecting the activities from the pilot project work and the responsibilities between CES and STAMS.</w:t>
      </w:r>
    </w:p>
    <w:p w:rsidR="001E4DCD" w:rsidRDefault="001E4DCD" w:rsidP="00002B3A">
      <w:pPr>
        <w:autoSpaceDE w:val="0"/>
        <w:autoSpaceDN w:val="0"/>
        <w:adjustRightInd w:val="0"/>
        <w:rPr>
          <w:rFonts w:ascii="Verdana" w:hAnsi="Verdana" w:cs="Arial"/>
          <w:sz w:val="19"/>
          <w:szCs w:val="19"/>
          <w:lang w:val="en-CA"/>
        </w:rPr>
      </w:pPr>
    </w:p>
    <w:p w:rsidR="001E4DCD" w:rsidRDefault="001E4DCD" w:rsidP="00002B3A">
      <w:pPr>
        <w:autoSpaceDE w:val="0"/>
        <w:autoSpaceDN w:val="0"/>
        <w:adjustRightInd w:val="0"/>
        <w:rPr>
          <w:rFonts w:ascii="Verdana" w:hAnsi="Verdana" w:cs="Arial"/>
          <w:sz w:val="19"/>
          <w:szCs w:val="19"/>
          <w:lang w:val="en-CA"/>
        </w:rPr>
      </w:pPr>
      <w:r>
        <w:rPr>
          <w:rFonts w:ascii="Verdana" w:hAnsi="Verdana" w:cs="Arial"/>
          <w:sz w:val="19"/>
          <w:szCs w:val="19"/>
          <w:lang w:val="en-CA"/>
        </w:rPr>
        <w:t xml:space="preserve">In April 2012, revisions to the </w:t>
      </w:r>
      <w:proofErr w:type="spellStart"/>
      <w:r>
        <w:rPr>
          <w:rFonts w:ascii="Verdana" w:hAnsi="Verdana" w:cs="Arial"/>
          <w:sz w:val="19"/>
          <w:szCs w:val="19"/>
          <w:lang w:val="en-CA"/>
        </w:rPr>
        <w:t>PSOnline</w:t>
      </w:r>
      <w:proofErr w:type="spellEnd"/>
      <w:r>
        <w:rPr>
          <w:rFonts w:ascii="Verdana" w:hAnsi="Verdana" w:cs="Arial"/>
          <w:sz w:val="19"/>
          <w:szCs w:val="19"/>
          <w:lang w:val="en-CA"/>
        </w:rPr>
        <w:t xml:space="preserve"> Assessment Framework were made to respond OPO and assessments were carried out and completed.</w:t>
      </w:r>
    </w:p>
    <w:p w:rsidR="001E4DCD" w:rsidRDefault="001E4DCD" w:rsidP="00002B3A">
      <w:pPr>
        <w:autoSpaceDE w:val="0"/>
        <w:autoSpaceDN w:val="0"/>
        <w:adjustRightInd w:val="0"/>
        <w:rPr>
          <w:rFonts w:ascii="Verdana" w:hAnsi="Verdana" w:cs="Arial"/>
          <w:sz w:val="19"/>
          <w:szCs w:val="19"/>
          <w:lang w:val="en-CA"/>
        </w:rPr>
      </w:pPr>
    </w:p>
    <w:p w:rsidR="001E4DCD" w:rsidRDefault="001E4DCD" w:rsidP="00002B3A">
      <w:pPr>
        <w:autoSpaceDE w:val="0"/>
        <w:autoSpaceDN w:val="0"/>
        <w:adjustRightInd w:val="0"/>
        <w:rPr>
          <w:rFonts w:ascii="Verdana" w:hAnsi="Verdana" w:cs="Arial"/>
          <w:sz w:val="19"/>
          <w:szCs w:val="19"/>
          <w:lang w:val="en-CA"/>
        </w:rPr>
      </w:pPr>
      <w:r>
        <w:rPr>
          <w:rFonts w:ascii="Verdana" w:hAnsi="Verdana" w:cs="Arial"/>
          <w:sz w:val="19"/>
          <w:szCs w:val="19"/>
          <w:lang w:val="en-CA"/>
        </w:rPr>
        <w:t xml:space="preserve">Now, in </w:t>
      </w:r>
      <w:r w:rsidR="00817132">
        <w:rPr>
          <w:rFonts w:ascii="Verdana" w:hAnsi="Verdana" w:cs="Arial"/>
          <w:sz w:val="19"/>
          <w:szCs w:val="19"/>
          <w:lang w:val="en-CA"/>
        </w:rPr>
        <w:t xml:space="preserve">February </w:t>
      </w:r>
      <w:r>
        <w:rPr>
          <w:rFonts w:ascii="Verdana" w:hAnsi="Verdana" w:cs="Arial"/>
          <w:sz w:val="19"/>
          <w:szCs w:val="19"/>
          <w:lang w:val="en-CA"/>
        </w:rPr>
        <w:t xml:space="preserve">2013, it is proposed to initiate assessments for THS.  The proposed approach will involve modifying the THS Assessment Framework to benefit from the experience gained in carrying out the </w:t>
      </w:r>
      <w:proofErr w:type="spellStart"/>
      <w:r>
        <w:rPr>
          <w:rFonts w:ascii="Verdana" w:hAnsi="Verdana" w:cs="Arial"/>
          <w:sz w:val="19"/>
          <w:szCs w:val="19"/>
          <w:lang w:val="en-CA"/>
        </w:rPr>
        <w:t>PSOnline</w:t>
      </w:r>
      <w:proofErr w:type="spellEnd"/>
      <w:r>
        <w:rPr>
          <w:rFonts w:ascii="Verdana" w:hAnsi="Verdana" w:cs="Arial"/>
          <w:sz w:val="19"/>
          <w:szCs w:val="19"/>
          <w:lang w:val="en-CA"/>
        </w:rPr>
        <w:t xml:space="preserve"> assessments and reflect the recommendations by OPO.  Additionally, as part of the Professional Services National Procurement Strategy, a standardized approach is to be implemented for the assessment of all professional services.</w:t>
      </w:r>
    </w:p>
    <w:p w:rsidR="001E4DCD" w:rsidRDefault="001E4DCD" w:rsidP="00002B3A">
      <w:pPr>
        <w:autoSpaceDE w:val="0"/>
        <w:autoSpaceDN w:val="0"/>
        <w:adjustRightInd w:val="0"/>
        <w:rPr>
          <w:rFonts w:ascii="Verdana" w:hAnsi="Verdana" w:cs="Arial"/>
          <w:sz w:val="19"/>
          <w:szCs w:val="19"/>
          <w:lang w:val="en-CA"/>
        </w:rPr>
      </w:pPr>
    </w:p>
    <w:p w:rsidR="008A0B99" w:rsidRDefault="008A0B99" w:rsidP="008A0B99">
      <w:pPr>
        <w:pStyle w:val="Heading2"/>
        <w:rPr>
          <w:sz w:val="27"/>
          <w:szCs w:val="27"/>
        </w:rPr>
      </w:pPr>
      <w:r>
        <w:rPr>
          <w:sz w:val="27"/>
          <w:szCs w:val="27"/>
        </w:rPr>
        <w:t>Purpose</w:t>
      </w:r>
    </w:p>
    <w:p w:rsidR="00C3260B" w:rsidRDefault="00C3260B" w:rsidP="008A0B99">
      <w:pPr>
        <w:pStyle w:val="NormalWeb"/>
        <w:shd w:val="clear" w:color="auto" w:fill="FFFFFF"/>
        <w:rPr>
          <w:color w:val="000000"/>
          <w:sz w:val="19"/>
          <w:szCs w:val="19"/>
        </w:rPr>
      </w:pPr>
      <w:r>
        <w:rPr>
          <w:color w:val="000000"/>
          <w:sz w:val="19"/>
          <w:szCs w:val="19"/>
        </w:rPr>
        <w:t xml:space="preserve">The purpose for the assessment of THS On-Line is to </w:t>
      </w:r>
      <w:r w:rsidR="00494A4D">
        <w:rPr>
          <w:color w:val="000000"/>
          <w:sz w:val="19"/>
          <w:szCs w:val="19"/>
        </w:rPr>
        <w:t>monitor and control the use of this self-serve procurement tool.</w:t>
      </w:r>
      <w:r>
        <w:rPr>
          <w:color w:val="000000"/>
          <w:sz w:val="19"/>
          <w:szCs w:val="19"/>
        </w:rPr>
        <w:t xml:space="preserve"> </w:t>
      </w:r>
    </w:p>
    <w:p w:rsidR="008A0B99" w:rsidRDefault="008A0B99" w:rsidP="008A0B99">
      <w:pPr>
        <w:pStyle w:val="Heading2"/>
        <w:rPr>
          <w:sz w:val="27"/>
          <w:szCs w:val="27"/>
        </w:rPr>
      </w:pPr>
      <w:r>
        <w:rPr>
          <w:sz w:val="27"/>
          <w:szCs w:val="27"/>
        </w:rPr>
        <w:lastRenderedPageBreak/>
        <w:t>Assessment Requirements</w:t>
      </w:r>
    </w:p>
    <w:p w:rsidR="00494A4D" w:rsidRDefault="008A0B99" w:rsidP="008A0B99">
      <w:pPr>
        <w:pStyle w:val="NormalWeb"/>
        <w:shd w:val="clear" w:color="auto" w:fill="FFFFFF"/>
        <w:rPr>
          <w:color w:val="000000"/>
          <w:sz w:val="19"/>
          <w:szCs w:val="19"/>
        </w:rPr>
      </w:pPr>
      <w:r>
        <w:rPr>
          <w:color w:val="000000"/>
          <w:sz w:val="19"/>
          <w:szCs w:val="19"/>
        </w:rPr>
        <w:t>Assessments conducted will be based on the requirements as specified in the</w:t>
      </w:r>
      <w:r w:rsidR="00095DB8">
        <w:rPr>
          <w:color w:val="000000"/>
          <w:sz w:val="19"/>
          <w:szCs w:val="19"/>
        </w:rPr>
        <w:t xml:space="preserve"> business rules applicable to </w:t>
      </w:r>
      <w:r w:rsidR="00987EE4">
        <w:rPr>
          <w:color w:val="000000"/>
          <w:sz w:val="19"/>
          <w:szCs w:val="19"/>
        </w:rPr>
        <w:t xml:space="preserve">the THS </w:t>
      </w:r>
      <w:r w:rsidR="00095DB8">
        <w:rPr>
          <w:color w:val="000000"/>
          <w:sz w:val="19"/>
          <w:szCs w:val="19"/>
        </w:rPr>
        <w:t>Method of Supply (</w:t>
      </w:r>
      <w:proofErr w:type="spellStart"/>
      <w:r w:rsidR="00494A4D">
        <w:rPr>
          <w:color w:val="000000"/>
          <w:sz w:val="19"/>
          <w:szCs w:val="19"/>
        </w:rPr>
        <w:t>MoS</w:t>
      </w:r>
      <w:proofErr w:type="spellEnd"/>
      <w:r w:rsidR="00095DB8">
        <w:rPr>
          <w:color w:val="000000"/>
          <w:sz w:val="19"/>
          <w:szCs w:val="19"/>
        </w:rPr>
        <w:t xml:space="preserve">).  </w:t>
      </w:r>
      <w:r w:rsidR="00494A4D">
        <w:rPr>
          <w:color w:val="000000"/>
          <w:sz w:val="19"/>
          <w:szCs w:val="19"/>
        </w:rPr>
        <w:t xml:space="preserve">An Assessor Guidance Document provides specific details </w:t>
      </w:r>
      <w:r w:rsidR="00DA5BB8">
        <w:rPr>
          <w:color w:val="000000"/>
          <w:sz w:val="19"/>
          <w:szCs w:val="19"/>
        </w:rPr>
        <w:t>regarding each requirement</w:t>
      </w:r>
      <w:r w:rsidR="00494A4D">
        <w:rPr>
          <w:color w:val="000000"/>
          <w:sz w:val="19"/>
          <w:szCs w:val="19"/>
        </w:rPr>
        <w:t xml:space="preserve">, including </w:t>
      </w:r>
      <w:r w:rsidR="00DA5BB8">
        <w:rPr>
          <w:color w:val="000000"/>
          <w:sz w:val="19"/>
          <w:szCs w:val="19"/>
        </w:rPr>
        <w:t>a description of each type of</w:t>
      </w:r>
      <w:r w:rsidR="00494A4D">
        <w:rPr>
          <w:color w:val="000000"/>
          <w:sz w:val="19"/>
          <w:szCs w:val="19"/>
        </w:rPr>
        <w:t xml:space="preserve"> </w:t>
      </w:r>
      <w:r w:rsidR="00DA5BB8">
        <w:rPr>
          <w:color w:val="000000"/>
          <w:sz w:val="19"/>
          <w:szCs w:val="19"/>
        </w:rPr>
        <w:t xml:space="preserve">finding and how potential findings </w:t>
      </w:r>
      <w:r w:rsidR="00494A4D">
        <w:rPr>
          <w:color w:val="000000"/>
          <w:sz w:val="19"/>
          <w:szCs w:val="19"/>
        </w:rPr>
        <w:t>established.   The</w:t>
      </w:r>
      <w:r w:rsidR="00DA5BB8">
        <w:rPr>
          <w:color w:val="000000"/>
          <w:sz w:val="19"/>
          <w:szCs w:val="19"/>
        </w:rPr>
        <w:t xml:space="preserve"> Assessor Guidance Document</w:t>
      </w:r>
      <w:r w:rsidR="00494A4D">
        <w:rPr>
          <w:color w:val="000000"/>
          <w:sz w:val="19"/>
          <w:szCs w:val="19"/>
        </w:rPr>
        <w:t xml:space="preserve"> may be </w:t>
      </w:r>
      <w:r w:rsidR="00DA5BB8">
        <w:rPr>
          <w:color w:val="000000"/>
          <w:sz w:val="19"/>
          <w:szCs w:val="19"/>
        </w:rPr>
        <w:t>am</w:t>
      </w:r>
      <w:r>
        <w:rPr>
          <w:color w:val="000000"/>
          <w:sz w:val="19"/>
          <w:szCs w:val="19"/>
        </w:rPr>
        <w:t>ended from time to time.</w:t>
      </w:r>
    </w:p>
    <w:p w:rsidR="008A0B99" w:rsidRDefault="008A0B99" w:rsidP="008A0B99">
      <w:pPr>
        <w:pStyle w:val="NormalWeb"/>
        <w:shd w:val="clear" w:color="auto" w:fill="FFFFFF"/>
        <w:rPr>
          <w:color w:val="000000"/>
          <w:sz w:val="19"/>
          <w:szCs w:val="19"/>
        </w:rPr>
      </w:pPr>
      <w:r>
        <w:rPr>
          <w:color w:val="000000"/>
          <w:sz w:val="19"/>
          <w:szCs w:val="19"/>
        </w:rPr>
        <w:t xml:space="preserve">The </w:t>
      </w:r>
      <w:r w:rsidR="00987EE4">
        <w:rPr>
          <w:color w:val="000000"/>
          <w:sz w:val="19"/>
          <w:szCs w:val="19"/>
        </w:rPr>
        <w:t xml:space="preserve">Identified User </w:t>
      </w:r>
      <w:r>
        <w:rPr>
          <w:color w:val="000000"/>
          <w:sz w:val="19"/>
          <w:szCs w:val="19"/>
        </w:rPr>
        <w:t>will be notified of the requirement for an assessment and will be required to:</w:t>
      </w:r>
    </w:p>
    <w:p w:rsidR="008A0B99" w:rsidRDefault="008A0B99" w:rsidP="008A0B99">
      <w:pPr>
        <w:numPr>
          <w:ilvl w:val="0"/>
          <w:numId w:val="2"/>
        </w:numPr>
        <w:shd w:val="clear" w:color="auto" w:fill="FFFFFF"/>
        <w:spacing w:before="100" w:beforeAutospacing="1" w:after="100" w:afterAutospacing="1"/>
        <w:rPr>
          <w:rFonts w:ascii="Verdana" w:hAnsi="Verdana"/>
          <w:color w:val="000000"/>
          <w:sz w:val="19"/>
          <w:szCs w:val="19"/>
        </w:rPr>
      </w:pPr>
      <w:r>
        <w:rPr>
          <w:rFonts w:ascii="Verdana" w:hAnsi="Verdana"/>
          <w:color w:val="000000"/>
          <w:sz w:val="19"/>
          <w:szCs w:val="19"/>
        </w:rPr>
        <w:t xml:space="preserve">provide </w:t>
      </w:r>
      <w:r w:rsidR="00987EE4">
        <w:rPr>
          <w:rFonts w:ascii="Verdana" w:hAnsi="Verdana"/>
          <w:color w:val="000000"/>
          <w:sz w:val="19"/>
          <w:szCs w:val="19"/>
        </w:rPr>
        <w:t>call-up/</w:t>
      </w:r>
      <w:r w:rsidR="00BE5FFE">
        <w:rPr>
          <w:rFonts w:ascii="Verdana" w:hAnsi="Verdana"/>
          <w:color w:val="000000"/>
          <w:sz w:val="19"/>
          <w:szCs w:val="19"/>
        </w:rPr>
        <w:t xml:space="preserve">contract activity </w:t>
      </w:r>
      <w:r>
        <w:rPr>
          <w:rFonts w:ascii="Verdana" w:hAnsi="Verdana"/>
          <w:color w:val="000000"/>
          <w:sz w:val="19"/>
          <w:szCs w:val="19"/>
        </w:rPr>
        <w:t xml:space="preserve">information necessary </w:t>
      </w:r>
      <w:r w:rsidR="00BE5FFE">
        <w:rPr>
          <w:rFonts w:ascii="Verdana" w:hAnsi="Verdana"/>
          <w:color w:val="000000"/>
          <w:sz w:val="19"/>
          <w:szCs w:val="19"/>
        </w:rPr>
        <w:t xml:space="preserve">for PWGSC </w:t>
      </w:r>
      <w:r>
        <w:rPr>
          <w:rFonts w:ascii="Verdana" w:hAnsi="Verdana"/>
          <w:color w:val="000000"/>
          <w:sz w:val="19"/>
          <w:szCs w:val="19"/>
        </w:rPr>
        <w:t xml:space="preserve">to </w:t>
      </w:r>
      <w:r w:rsidR="00BE5FFE">
        <w:rPr>
          <w:rFonts w:ascii="Verdana" w:hAnsi="Verdana"/>
          <w:color w:val="000000"/>
          <w:sz w:val="19"/>
          <w:szCs w:val="19"/>
        </w:rPr>
        <w:t xml:space="preserve">determine which </w:t>
      </w:r>
      <w:r w:rsidR="00987EE4">
        <w:rPr>
          <w:rFonts w:ascii="Verdana" w:hAnsi="Verdana"/>
          <w:color w:val="000000"/>
          <w:sz w:val="19"/>
          <w:szCs w:val="19"/>
        </w:rPr>
        <w:t>call-up(s)/</w:t>
      </w:r>
      <w:r w:rsidR="00BE5FFE">
        <w:rPr>
          <w:rFonts w:ascii="Verdana" w:hAnsi="Verdana"/>
          <w:color w:val="000000"/>
          <w:sz w:val="19"/>
          <w:szCs w:val="19"/>
        </w:rPr>
        <w:t>contract(s) will be assessed</w:t>
      </w:r>
      <w:r>
        <w:rPr>
          <w:rFonts w:ascii="Verdana" w:hAnsi="Verdana"/>
          <w:color w:val="000000"/>
          <w:sz w:val="19"/>
          <w:szCs w:val="19"/>
        </w:rPr>
        <w:t>;</w:t>
      </w:r>
    </w:p>
    <w:p w:rsidR="008A0B99" w:rsidRDefault="008A0B99" w:rsidP="008A0B99">
      <w:pPr>
        <w:numPr>
          <w:ilvl w:val="0"/>
          <w:numId w:val="2"/>
        </w:numPr>
        <w:shd w:val="clear" w:color="auto" w:fill="FFFFFF"/>
        <w:spacing w:before="100" w:beforeAutospacing="1" w:after="100" w:afterAutospacing="1"/>
        <w:rPr>
          <w:rFonts w:ascii="Verdana" w:hAnsi="Verdana"/>
          <w:color w:val="000000"/>
          <w:sz w:val="19"/>
          <w:szCs w:val="19"/>
        </w:rPr>
      </w:pPr>
      <w:proofErr w:type="gramStart"/>
      <w:r>
        <w:rPr>
          <w:rFonts w:ascii="Verdana" w:hAnsi="Verdana"/>
          <w:color w:val="000000"/>
          <w:sz w:val="19"/>
          <w:szCs w:val="19"/>
        </w:rPr>
        <w:t>provide</w:t>
      </w:r>
      <w:proofErr w:type="gramEnd"/>
      <w:r>
        <w:rPr>
          <w:rFonts w:ascii="Verdana" w:hAnsi="Verdana"/>
          <w:color w:val="000000"/>
          <w:sz w:val="19"/>
          <w:szCs w:val="19"/>
        </w:rPr>
        <w:t xml:space="preserve"> </w:t>
      </w:r>
      <w:r w:rsidR="00BE5FFE">
        <w:rPr>
          <w:rFonts w:ascii="Verdana" w:hAnsi="Verdana"/>
          <w:color w:val="000000"/>
          <w:sz w:val="19"/>
          <w:szCs w:val="19"/>
        </w:rPr>
        <w:t xml:space="preserve">a copy of the </w:t>
      </w:r>
      <w:r>
        <w:rPr>
          <w:rFonts w:ascii="Verdana" w:hAnsi="Verdana"/>
          <w:color w:val="000000"/>
          <w:sz w:val="19"/>
          <w:szCs w:val="19"/>
        </w:rPr>
        <w:t>information required to conduct the assessment</w:t>
      </w:r>
      <w:r w:rsidR="00AF1FB4">
        <w:rPr>
          <w:rFonts w:ascii="Verdana" w:hAnsi="Verdana"/>
          <w:color w:val="000000"/>
          <w:sz w:val="19"/>
          <w:szCs w:val="19"/>
        </w:rPr>
        <w:t>.</w:t>
      </w:r>
    </w:p>
    <w:p w:rsidR="00F869E0" w:rsidRDefault="00F869E0" w:rsidP="00F869E0">
      <w:pPr>
        <w:pStyle w:val="Heading2"/>
        <w:rPr>
          <w:sz w:val="27"/>
          <w:szCs w:val="27"/>
        </w:rPr>
      </w:pPr>
      <w:r>
        <w:rPr>
          <w:sz w:val="27"/>
          <w:szCs w:val="27"/>
        </w:rPr>
        <w:t>C</w:t>
      </w:r>
      <w:r w:rsidR="00987EE4">
        <w:rPr>
          <w:sz w:val="27"/>
          <w:szCs w:val="27"/>
        </w:rPr>
        <w:t>all-Up/C</w:t>
      </w:r>
      <w:r>
        <w:rPr>
          <w:sz w:val="27"/>
          <w:szCs w:val="27"/>
        </w:rPr>
        <w:t>ontract Selection Process</w:t>
      </w:r>
    </w:p>
    <w:p w:rsidR="00F869E0" w:rsidRPr="00F869E0" w:rsidRDefault="00F869E0" w:rsidP="00F869E0">
      <w:pPr>
        <w:rPr>
          <w:rFonts w:ascii="Verdana" w:hAnsi="Verdana"/>
          <w:sz w:val="18"/>
          <w:szCs w:val="18"/>
          <w:lang w:val="en-CA"/>
        </w:rPr>
      </w:pPr>
      <w:r>
        <w:rPr>
          <w:rFonts w:ascii="Verdana" w:hAnsi="Verdana"/>
          <w:sz w:val="18"/>
          <w:szCs w:val="18"/>
          <w:lang w:val="en-CA"/>
        </w:rPr>
        <w:t>C</w:t>
      </w:r>
      <w:r w:rsidR="00987EE4">
        <w:rPr>
          <w:rFonts w:ascii="Verdana" w:hAnsi="Verdana"/>
          <w:sz w:val="18"/>
          <w:szCs w:val="18"/>
          <w:lang w:val="en-CA"/>
        </w:rPr>
        <w:t>all-up/c</w:t>
      </w:r>
      <w:r>
        <w:rPr>
          <w:rFonts w:ascii="Verdana" w:hAnsi="Verdana"/>
          <w:sz w:val="18"/>
          <w:szCs w:val="18"/>
          <w:lang w:val="en-CA"/>
        </w:rPr>
        <w:t>ontract activity i</w:t>
      </w:r>
      <w:r w:rsidRPr="00F869E0">
        <w:rPr>
          <w:rFonts w:ascii="Verdana" w:hAnsi="Verdana"/>
          <w:sz w:val="18"/>
          <w:szCs w:val="18"/>
          <w:lang w:val="en-CA"/>
        </w:rPr>
        <w:t>nformation provided is reviewed to identify potential assessment candidates based on the following criteria</w:t>
      </w:r>
      <w:r w:rsidR="00E047C1">
        <w:rPr>
          <w:rFonts w:ascii="Verdana" w:hAnsi="Verdana"/>
          <w:sz w:val="18"/>
          <w:szCs w:val="18"/>
          <w:lang w:val="en-CA"/>
        </w:rPr>
        <w:t>, but not limited to</w:t>
      </w:r>
      <w:r w:rsidRPr="00F869E0">
        <w:rPr>
          <w:rFonts w:ascii="Verdana" w:hAnsi="Verdana"/>
          <w:sz w:val="18"/>
          <w:szCs w:val="18"/>
          <w:lang w:val="en-CA"/>
        </w:rPr>
        <w:t>:</w:t>
      </w:r>
      <w:r w:rsidRPr="00F869E0">
        <w:rPr>
          <w:rFonts w:ascii="Verdana" w:hAnsi="Verdana"/>
          <w:sz w:val="18"/>
          <w:szCs w:val="18"/>
          <w:lang w:val="en-CA"/>
        </w:rPr>
        <w:br/>
      </w:r>
    </w:p>
    <w:p w:rsidR="00F869E0" w:rsidRPr="00F869E0" w:rsidRDefault="00F869E0" w:rsidP="00F869E0">
      <w:pPr>
        <w:numPr>
          <w:ilvl w:val="0"/>
          <w:numId w:val="3"/>
        </w:numPr>
        <w:tabs>
          <w:tab w:val="num" w:pos="1080"/>
        </w:tabs>
        <w:rPr>
          <w:rFonts w:ascii="Verdana" w:hAnsi="Verdana"/>
          <w:sz w:val="18"/>
          <w:szCs w:val="18"/>
          <w:lang w:val="en-CA"/>
        </w:rPr>
      </w:pPr>
      <w:r w:rsidRPr="00F869E0">
        <w:rPr>
          <w:rFonts w:ascii="Verdana" w:hAnsi="Verdana"/>
          <w:sz w:val="18"/>
          <w:szCs w:val="18"/>
          <w:lang w:val="en-CA"/>
        </w:rPr>
        <w:t>High dollar value of original call-up or contract;</w:t>
      </w:r>
    </w:p>
    <w:p w:rsidR="00F869E0" w:rsidRPr="00987EE4" w:rsidRDefault="00F869E0" w:rsidP="00F869E0">
      <w:pPr>
        <w:numPr>
          <w:ilvl w:val="0"/>
          <w:numId w:val="3"/>
        </w:numPr>
        <w:tabs>
          <w:tab w:val="num" w:pos="1080"/>
        </w:tabs>
        <w:rPr>
          <w:rFonts w:ascii="Verdana" w:hAnsi="Verdana"/>
          <w:sz w:val="18"/>
          <w:szCs w:val="18"/>
          <w:lang w:val="en-CA"/>
        </w:rPr>
      </w:pPr>
      <w:r w:rsidRPr="00F869E0">
        <w:rPr>
          <w:rFonts w:ascii="Verdana" w:hAnsi="Verdana"/>
          <w:sz w:val="18"/>
          <w:szCs w:val="18"/>
          <w:lang w:val="en-CA"/>
        </w:rPr>
        <w:t>Total value of amendments</w:t>
      </w:r>
      <w:r w:rsidR="00624FB3">
        <w:rPr>
          <w:rFonts w:ascii="Verdana" w:hAnsi="Verdana"/>
          <w:sz w:val="18"/>
          <w:szCs w:val="18"/>
          <w:lang w:val="en-CA"/>
        </w:rPr>
        <w:t>,</w:t>
      </w:r>
      <w:r w:rsidRPr="00F869E0">
        <w:rPr>
          <w:rFonts w:ascii="Verdana" w:hAnsi="Verdana"/>
          <w:sz w:val="18"/>
          <w:szCs w:val="18"/>
          <w:lang w:val="en-CA"/>
        </w:rPr>
        <w:t xml:space="preserve"> </w:t>
      </w:r>
      <w:r w:rsidR="00624FB3">
        <w:rPr>
          <w:rFonts w:ascii="Verdana" w:hAnsi="Verdana"/>
          <w:sz w:val="18"/>
          <w:szCs w:val="18"/>
          <w:lang w:val="en-CA"/>
        </w:rPr>
        <w:t xml:space="preserve">against a single call-up or contract, </w:t>
      </w:r>
      <w:r w:rsidRPr="00F869E0">
        <w:rPr>
          <w:rFonts w:ascii="Verdana" w:hAnsi="Verdana"/>
          <w:sz w:val="18"/>
          <w:szCs w:val="18"/>
          <w:lang w:val="en-CA"/>
        </w:rPr>
        <w:t>in exce</w:t>
      </w:r>
      <w:r w:rsidRPr="00987EE4">
        <w:rPr>
          <w:rFonts w:ascii="Verdana" w:hAnsi="Verdana"/>
          <w:sz w:val="18"/>
          <w:szCs w:val="18"/>
          <w:lang w:val="en-CA"/>
        </w:rPr>
        <w:t>ss of $100,000;</w:t>
      </w:r>
    </w:p>
    <w:p w:rsidR="00F869E0" w:rsidRPr="00987EE4" w:rsidRDefault="00987EE4" w:rsidP="00F869E0">
      <w:pPr>
        <w:numPr>
          <w:ilvl w:val="0"/>
          <w:numId w:val="3"/>
        </w:numPr>
        <w:tabs>
          <w:tab w:val="num" w:pos="1080"/>
        </w:tabs>
        <w:rPr>
          <w:rFonts w:ascii="Verdana" w:hAnsi="Verdana"/>
          <w:sz w:val="18"/>
          <w:szCs w:val="18"/>
          <w:lang w:val="en-CA"/>
        </w:rPr>
      </w:pPr>
      <w:r w:rsidRPr="00987EE4">
        <w:rPr>
          <w:rFonts w:ascii="Verdana" w:hAnsi="Verdana"/>
          <w:sz w:val="18"/>
          <w:szCs w:val="18"/>
          <w:lang w:val="en-CA"/>
        </w:rPr>
        <w:t>Call-up or contract duration in excess of 48 weeks;</w:t>
      </w:r>
    </w:p>
    <w:p w:rsidR="00F869E0" w:rsidRPr="00987EE4" w:rsidRDefault="00F869E0" w:rsidP="00F869E0">
      <w:pPr>
        <w:numPr>
          <w:ilvl w:val="0"/>
          <w:numId w:val="3"/>
        </w:numPr>
        <w:tabs>
          <w:tab w:val="num" w:pos="1080"/>
        </w:tabs>
        <w:rPr>
          <w:rFonts w:ascii="Verdana" w:hAnsi="Verdana"/>
          <w:sz w:val="18"/>
          <w:szCs w:val="18"/>
          <w:lang w:val="en-CA"/>
        </w:rPr>
      </w:pPr>
      <w:r w:rsidRPr="00987EE4">
        <w:rPr>
          <w:rFonts w:ascii="Verdana" w:hAnsi="Verdana"/>
          <w:sz w:val="18"/>
          <w:szCs w:val="18"/>
          <w:lang w:val="en-CA"/>
        </w:rPr>
        <w:t xml:space="preserve">Information presented in reports suggests that contract splitting may have occurred; </w:t>
      </w:r>
    </w:p>
    <w:p w:rsidR="00F869E0" w:rsidRPr="00987EE4" w:rsidRDefault="00987EE4" w:rsidP="00F869E0">
      <w:pPr>
        <w:numPr>
          <w:ilvl w:val="0"/>
          <w:numId w:val="3"/>
        </w:numPr>
        <w:tabs>
          <w:tab w:val="num" w:pos="1080"/>
        </w:tabs>
        <w:rPr>
          <w:rFonts w:ascii="Verdana" w:hAnsi="Verdana"/>
          <w:color w:val="000000"/>
          <w:sz w:val="18"/>
          <w:szCs w:val="18"/>
        </w:rPr>
      </w:pPr>
      <w:r w:rsidRPr="00987EE4">
        <w:rPr>
          <w:rFonts w:ascii="Verdana" w:hAnsi="Verdana"/>
          <w:sz w:val="18"/>
          <w:szCs w:val="18"/>
          <w:lang w:val="en-CA"/>
        </w:rPr>
        <w:t>A minimum of one call-up and one contract (if applicable) per user would be selected for assessment purposes</w:t>
      </w:r>
      <w:r w:rsidR="00F869E0" w:rsidRPr="00987EE4">
        <w:rPr>
          <w:rFonts w:ascii="Verdana" w:hAnsi="Verdana"/>
          <w:sz w:val="18"/>
          <w:szCs w:val="18"/>
          <w:lang w:val="en-CA"/>
        </w:rPr>
        <w:t>.</w:t>
      </w:r>
    </w:p>
    <w:p w:rsidR="00F869E0" w:rsidRDefault="00F869E0" w:rsidP="00F869E0">
      <w:pPr>
        <w:pStyle w:val="Heading2"/>
        <w:rPr>
          <w:sz w:val="27"/>
          <w:szCs w:val="27"/>
        </w:rPr>
      </w:pPr>
      <w:r>
        <w:rPr>
          <w:sz w:val="27"/>
          <w:szCs w:val="27"/>
        </w:rPr>
        <w:t>Assessment Process</w:t>
      </w:r>
    </w:p>
    <w:p w:rsidR="00AF1FB4" w:rsidRDefault="008A0B99" w:rsidP="008A0B99">
      <w:pPr>
        <w:pStyle w:val="NormalWeb"/>
        <w:shd w:val="clear" w:color="auto" w:fill="FFFFFF"/>
        <w:rPr>
          <w:color w:val="000000"/>
          <w:sz w:val="19"/>
          <w:szCs w:val="19"/>
        </w:rPr>
      </w:pPr>
      <w:r>
        <w:rPr>
          <w:color w:val="000000"/>
          <w:sz w:val="19"/>
          <w:szCs w:val="19"/>
        </w:rPr>
        <w:t xml:space="preserve">Once the assessment is completed, </w:t>
      </w:r>
      <w:r w:rsidR="00AF1FB4">
        <w:rPr>
          <w:color w:val="000000"/>
          <w:sz w:val="19"/>
          <w:szCs w:val="19"/>
        </w:rPr>
        <w:t xml:space="preserve">a copy of the report covering each </w:t>
      </w:r>
      <w:r w:rsidR="00987EE4">
        <w:rPr>
          <w:color w:val="000000"/>
          <w:sz w:val="19"/>
          <w:szCs w:val="19"/>
        </w:rPr>
        <w:t>call-up/</w:t>
      </w:r>
      <w:r w:rsidR="00AF1FB4">
        <w:rPr>
          <w:color w:val="000000"/>
          <w:sz w:val="19"/>
          <w:szCs w:val="19"/>
        </w:rPr>
        <w:t xml:space="preserve">contract assessed and </w:t>
      </w:r>
      <w:r w:rsidR="00002B3A">
        <w:rPr>
          <w:color w:val="000000"/>
          <w:sz w:val="19"/>
          <w:szCs w:val="19"/>
        </w:rPr>
        <w:t>a</w:t>
      </w:r>
      <w:r w:rsidR="00BE5FFE">
        <w:rPr>
          <w:color w:val="000000"/>
          <w:sz w:val="19"/>
          <w:szCs w:val="19"/>
        </w:rPr>
        <w:t xml:space="preserve"> </w:t>
      </w:r>
      <w:r w:rsidR="00AF1FB4">
        <w:rPr>
          <w:color w:val="000000"/>
          <w:sz w:val="19"/>
          <w:szCs w:val="19"/>
        </w:rPr>
        <w:t xml:space="preserve">summary of the findings will be provided to the </w:t>
      </w:r>
      <w:r w:rsidR="00987EE4">
        <w:rPr>
          <w:color w:val="000000"/>
          <w:sz w:val="19"/>
          <w:szCs w:val="19"/>
        </w:rPr>
        <w:t xml:space="preserve">Identified User and their </w:t>
      </w:r>
      <w:r w:rsidR="00AF1FB4">
        <w:rPr>
          <w:color w:val="000000"/>
          <w:sz w:val="19"/>
          <w:szCs w:val="19"/>
        </w:rPr>
        <w:t xml:space="preserve">manager.  The </w:t>
      </w:r>
      <w:r w:rsidR="00987EE4">
        <w:rPr>
          <w:color w:val="000000"/>
          <w:sz w:val="19"/>
          <w:szCs w:val="19"/>
        </w:rPr>
        <w:t xml:space="preserve">Identified User’s </w:t>
      </w:r>
      <w:r w:rsidR="00AF1FB4">
        <w:rPr>
          <w:color w:val="000000"/>
          <w:sz w:val="19"/>
          <w:szCs w:val="19"/>
        </w:rPr>
        <w:t>manager will be given a period of time to appeal the findings stated in the assessment report.  Please refer to the section titled Appeals for addition</w:t>
      </w:r>
      <w:r w:rsidR="00002B3A">
        <w:rPr>
          <w:color w:val="000000"/>
          <w:sz w:val="19"/>
          <w:szCs w:val="19"/>
        </w:rPr>
        <w:t>al</w:t>
      </w:r>
      <w:r w:rsidR="00AF1FB4">
        <w:rPr>
          <w:color w:val="000000"/>
          <w:sz w:val="19"/>
          <w:szCs w:val="19"/>
        </w:rPr>
        <w:t xml:space="preserve"> information.</w:t>
      </w:r>
      <w:r w:rsidR="0075465D">
        <w:rPr>
          <w:color w:val="000000"/>
          <w:sz w:val="19"/>
          <w:szCs w:val="19"/>
        </w:rPr>
        <w:t xml:space="preserve">  A summary of the assessment findings </w:t>
      </w:r>
      <w:r w:rsidR="00002B3A">
        <w:rPr>
          <w:color w:val="000000"/>
          <w:sz w:val="19"/>
          <w:szCs w:val="19"/>
        </w:rPr>
        <w:t>will</w:t>
      </w:r>
      <w:r w:rsidR="00BE5FFE">
        <w:rPr>
          <w:color w:val="000000"/>
          <w:sz w:val="19"/>
          <w:szCs w:val="19"/>
        </w:rPr>
        <w:t xml:space="preserve"> </w:t>
      </w:r>
      <w:r w:rsidR="00002B3A">
        <w:rPr>
          <w:color w:val="000000"/>
          <w:sz w:val="19"/>
          <w:szCs w:val="19"/>
        </w:rPr>
        <w:t xml:space="preserve">also </w:t>
      </w:r>
      <w:r w:rsidR="0075465D">
        <w:rPr>
          <w:color w:val="000000"/>
          <w:sz w:val="19"/>
          <w:szCs w:val="19"/>
        </w:rPr>
        <w:t>be provided to the executive(s) of the department/agency assessed to facilitate discussions between PWGSC and the department’s/agency’s executive(s).</w:t>
      </w:r>
    </w:p>
    <w:p w:rsidR="0075465D" w:rsidRDefault="0075465D" w:rsidP="008A0B99">
      <w:pPr>
        <w:pStyle w:val="NormalWeb"/>
        <w:shd w:val="clear" w:color="auto" w:fill="FFFFFF"/>
        <w:rPr>
          <w:color w:val="000000"/>
          <w:sz w:val="19"/>
          <w:szCs w:val="19"/>
        </w:rPr>
      </w:pPr>
      <w:r>
        <w:rPr>
          <w:color w:val="000000"/>
          <w:sz w:val="19"/>
          <w:szCs w:val="19"/>
        </w:rPr>
        <w:t xml:space="preserve">In addition, a summary of the </w:t>
      </w:r>
      <w:r w:rsidR="00336FB5">
        <w:rPr>
          <w:color w:val="000000"/>
          <w:sz w:val="19"/>
          <w:szCs w:val="19"/>
        </w:rPr>
        <w:t xml:space="preserve">assessment </w:t>
      </w:r>
      <w:r>
        <w:rPr>
          <w:color w:val="000000"/>
          <w:sz w:val="19"/>
          <w:szCs w:val="19"/>
        </w:rPr>
        <w:t xml:space="preserve">findings </w:t>
      </w:r>
      <w:r w:rsidR="00336FB5">
        <w:rPr>
          <w:color w:val="000000"/>
          <w:sz w:val="19"/>
          <w:szCs w:val="19"/>
        </w:rPr>
        <w:t>for</w:t>
      </w:r>
      <w:r>
        <w:rPr>
          <w:color w:val="000000"/>
          <w:sz w:val="19"/>
          <w:szCs w:val="19"/>
        </w:rPr>
        <w:t xml:space="preserve"> all departments and agencies will be provided to the Professional Services Steering Committee.  The</w:t>
      </w:r>
      <w:r w:rsidR="00336FB5">
        <w:rPr>
          <w:color w:val="000000"/>
          <w:sz w:val="19"/>
          <w:szCs w:val="19"/>
        </w:rPr>
        <w:t>se</w:t>
      </w:r>
      <w:r>
        <w:rPr>
          <w:color w:val="000000"/>
          <w:sz w:val="19"/>
          <w:szCs w:val="19"/>
        </w:rPr>
        <w:t xml:space="preserve"> summar</w:t>
      </w:r>
      <w:r w:rsidR="00336FB5">
        <w:rPr>
          <w:color w:val="000000"/>
          <w:sz w:val="19"/>
          <w:szCs w:val="19"/>
        </w:rPr>
        <w:t>ies</w:t>
      </w:r>
      <w:r>
        <w:rPr>
          <w:color w:val="000000"/>
          <w:sz w:val="19"/>
          <w:szCs w:val="19"/>
        </w:rPr>
        <w:t xml:space="preserve"> will form the basis for possible refinements to the </w:t>
      </w:r>
      <w:proofErr w:type="spellStart"/>
      <w:r w:rsidR="00494A4D">
        <w:rPr>
          <w:color w:val="000000"/>
          <w:sz w:val="19"/>
          <w:szCs w:val="19"/>
        </w:rPr>
        <w:t>MoS</w:t>
      </w:r>
      <w:proofErr w:type="spellEnd"/>
      <w:r w:rsidR="00494A4D">
        <w:rPr>
          <w:color w:val="000000"/>
          <w:sz w:val="19"/>
          <w:szCs w:val="19"/>
        </w:rPr>
        <w:t>,</w:t>
      </w:r>
      <w:r w:rsidR="00DA5BB8">
        <w:rPr>
          <w:color w:val="000000"/>
          <w:sz w:val="19"/>
          <w:szCs w:val="19"/>
        </w:rPr>
        <w:t xml:space="preserve"> </w:t>
      </w:r>
      <w:r>
        <w:rPr>
          <w:color w:val="000000"/>
          <w:sz w:val="19"/>
          <w:szCs w:val="19"/>
        </w:rPr>
        <w:t xml:space="preserve">as well as the training provided on the use of </w:t>
      </w:r>
      <w:r w:rsidR="00494A4D">
        <w:rPr>
          <w:color w:val="000000"/>
          <w:sz w:val="19"/>
          <w:szCs w:val="19"/>
        </w:rPr>
        <w:t>the THS On-Line System</w:t>
      </w:r>
      <w:r>
        <w:rPr>
          <w:color w:val="000000"/>
          <w:sz w:val="19"/>
          <w:szCs w:val="19"/>
        </w:rPr>
        <w:t>.</w:t>
      </w:r>
    </w:p>
    <w:p w:rsidR="00A0597E" w:rsidRDefault="00A0597E" w:rsidP="008A0B99">
      <w:pPr>
        <w:pStyle w:val="NormalWeb"/>
        <w:shd w:val="clear" w:color="auto" w:fill="FFFFFF"/>
        <w:rPr>
          <w:color w:val="000000"/>
          <w:sz w:val="19"/>
          <w:szCs w:val="19"/>
        </w:rPr>
      </w:pPr>
      <w:r>
        <w:rPr>
          <w:color w:val="000000"/>
          <w:sz w:val="19"/>
          <w:szCs w:val="19"/>
        </w:rPr>
        <w:t>Types of assessment findings include:</w:t>
      </w:r>
    </w:p>
    <w:p w:rsidR="00A0597E" w:rsidRDefault="00A0597E" w:rsidP="008A0B99">
      <w:pPr>
        <w:pStyle w:val="NormalWeb"/>
        <w:shd w:val="clear" w:color="auto" w:fill="FFFFFF"/>
        <w:rPr>
          <w:color w:val="000000"/>
          <w:sz w:val="19"/>
          <w:szCs w:val="19"/>
        </w:rPr>
      </w:pPr>
      <w:r>
        <w:rPr>
          <w:color w:val="000000"/>
          <w:sz w:val="19"/>
          <w:szCs w:val="19"/>
        </w:rPr>
        <w:t>Major (Policy Related) Non-Conformance – Action taken (or lack thereof) by the Identified User that results in either a contravention of Treasury Board Contracting Policy or Federal/Provincial legislation.</w:t>
      </w:r>
    </w:p>
    <w:p w:rsidR="00A0597E" w:rsidRDefault="00A0597E" w:rsidP="008A0B99">
      <w:pPr>
        <w:pStyle w:val="NormalWeb"/>
        <w:shd w:val="clear" w:color="auto" w:fill="FFFFFF"/>
        <w:rPr>
          <w:color w:val="000000"/>
          <w:sz w:val="19"/>
          <w:szCs w:val="19"/>
        </w:rPr>
      </w:pPr>
      <w:r>
        <w:rPr>
          <w:color w:val="000000"/>
          <w:sz w:val="19"/>
          <w:szCs w:val="19"/>
        </w:rPr>
        <w:t>Major (Procedural Related) Non-Conformance - Action taken (or lack thereof) by the Identified User that results in, for example, the improper use of the THS online procurement tool.</w:t>
      </w:r>
    </w:p>
    <w:p w:rsidR="00A0597E" w:rsidRPr="00A0597E" w:rsidRDefault="00A0597E" w:rsidP="008A0B99">
      <w:pPr>
        <w:pStyle w:val="NormalWeb"/>
        <w:shd w:val="clear" w:color="auto" w:fill="FFFFFF"/>
        <w:rPr>
          <w:rFonts w:cs="Arial"/>
          <w:sz w:val="19"/>
          <w:szCs w:val="19"/>
          <w:lang w:val="en-CA"/>
        </w:rPr>
      </w:pPr>
      <w:r>
        <w:rPr>
          <w:color w:val="000000"/>
          <w:sz w:val="19"/>
          <w:szCs w:val="19"/>
        </w:rPr>
        <w:lastRenderedPageBreak/>
        <w:t>Minor Non-</w:t>
      </w:r>
      <w:r w:rsidRPr="00A0597E">
        <w:rPr>
          <w:color w:val="000000"/>
          <w:sz w:val="19"/>
          <w:szCs w:val="19"/>
        </w:rPr>
        <w:t xml:space="preserve">Conformance - </w:t>
      </w:r>
      <w:r w:rsidRPr="00A0597E">
        <w:rPr>
          <w:rFonts w:cs="Arial"/>
          <w:sz w:val="19"/>
          <w:szCs w:val="19"/>
          <w:lang w:val="en-CA"/>
        </w:rPr>
        <w:t>Action taken (or lack thereof) by the Identified User that results in a contravention of the rules governing the use of the THS online procurement tool.  However, the non-conformance does not meet the criteria applicable to either type of Major non-conformance.</w:t>
      </w:r>
    </w:p>
    <w:p w:rsidR="00A0597E" w:rsidRPr="00A0597E" w:rsidRDefault="00A0597E" w:rsidP="00A0597E">
      <w:pPr>
        <w:rPr>
          <w:rFonts w:ascii="Verdana" w:hAnsi="Verdana"/>
          <w:color w:val="000000"/>
          <w:sz w:val="19"/>
          <w:szCs w:val="19"/>
          <w:lang w:val="en-CA"/>
        </w:rPr>
      </w:pPr>
      <w:r w:rsidRPr="00A0597E">
        <w:rPr>
          <w:rFonts w:ascii="Verdana" w:hAnsi="Verdana"/>
          <w:sz w:val="19"/>
          <w:szCs w:val="19"/>
          <w:lang w:val="en-CA"/>
        </w:rPr>
        <w:t>Observation - This type of finding will be applied in cases where, for example, information required to determine compliance cannot be provided, the lack of which has already resulted in the issuance of a Major non-conformance against a related element.</w:t>
      </w:r>
    </w:p>
    <w:p w:rsidR="008A0B99" w:rsidRDefault="008A0B99" w:rsidP="008A0B99">
      <w:pPr>
        <w:pStyle w:val="Heading2"/>
        <w:rPr>
          <w:sz w:val="27"/>
          <w:szCs w:val="27"/>
        </w:rPr>
      </w:pPr>
      <w:r>
        <w:rPr>
          <w:sz w:val="27"/>
          <w:szCs w:val="27"/>
        </w:rPr>
        <w:t>Failure to Comply with the Assessment Framework</w:t>
      </w:r>
    </w:p>
    <w:p w:rsidR="00A0597E" w:rsidRDefault="008A0B99" w:rsidP="008A0B99">
      <w:pPr>
        <w:pStyle w:val="NormalWeb"/>
        <w:shd w:val="clear" w:color="auto" w:fill="FFFFFF"/>
        <w:rPr>
          <w:color w:val="000000"/>
          <w:sz w:val="19"/>
          <w:szCs w:val="19"/>
        </w:rPr>
      </w:pPr>
      <w:r>
        <w:rPr>
          <w:color w:val="000000"/>
          <w:sz w:val="19"/>
          <w:szCs w:val="19"/>
        </w:rPr>
        <w:t xml:space="preserve">Failure to comply with the assessment requirements, within the timeframes stipulated by the </w:t>
      </w:r>
      <w:r>
        <w:rPr>
          <w:rStyle w:val="HTMLAcronym"/>
          <w:color w:val="000000"/>
          <w:sz w:val="19"/>
          <w:szCs w:val="19"/>
        </w:rPr>
        <w:t>PWGSC</w:t>
      </w:r>
      <w:r>
        <w:rPr>
          <w:color w:val="000000"/>
          <w:sz w:val="19"/>
          <w:szCs w:val="19"/>
        </w:rPr>
        <w:t xml:space="preserve"> </w:t>
      </w:r>
      <w:r>
        <w:rPr>
          <w:rStyle w:val="HTMLAcronym"/>
          <w:color w:val="000000"/>
          <w:sz w:val="19"/>
          <w:szCs w:val="19"/>
        </w:rPr>
        <w:t>OSD</w:t>
      </w:r>
      <w:r>
        <w:rPr>
          <w:color w:val="000000"/>
          <w:sz w:val="19"/>
          <w:szCs w:val="19"/>
        </w:rPr>
        <w:t xml:space="preserve"> representative, will</w:t>
      </w:r>
      <w:r w:rsidR="00A0597E">
        <w:rPr>
          <w:color w:val="000000"/>
          <w:sz w:val="19"/>
          <w:szCs w:val="19"/>
        </w:rPr>
        <w:t xml:space="preserve"> result in a recommendation being sent to the THS Standing Offer/Supply Arrangement Authority to de-activate </w:t>
      </w:r>
      <w:r>
        <w:rPr>
          <w:color w:val="000000"/>
          <w:sz w:val="19"/>
          <w:szCs w:val="19"/>
        </w:rPr>
        <w:t xml:space="preserve">the </w:t>
      </w:r>
      <w:r w:rsidR="00987EE4">
        <w:rPr>
          <w:color w:val="000000"/>
          <w:sz w:val="19"/>
          <w:szCs w:val="19"/>
        </w:rPr>
        <w:t xml:space="preserve">Identified User’s THS </w:t>
      </w:r>
      <w:r>
        <w:rPr>
          <w:color w:val="000000"/>
          <w:sz w:val="19"/>
          <w:szCs w:val="19"/>
        </w:rPr>
        <w:t>account</w:t>
      </w:r>
      <w:r w:rsidR="009873BC">
        <w:rPr>
          <w:color w:val="000000"/>
          <w:sz w:val="19"/>
          <w:szCs w:val="19"/>
        </w:rPr>
        <w:t xml:space="preserve"> and a notation being added by PWGSC to the Final Report</w:t>
      </w:r>
      <w:r w:rsidR="00B52FCA">
        <w:rPr>
          <w:color w:val="000000"/>
          <w:sz w:val="19"/>
          <w:szCs w:val="19"/>
        </w:rPr>
        <w:t xml:space="preserve">. </w:t>
      </w:r>
      <w:r w:rsidR="00635440">
        <w:rPr>
          <w:color w:val="000000"/>
          <w:sz w:val="19"/>
          <w:szCs w:val="19"/>
        </w:rPr>
        <w:t xml:space="preserve"> De-activation of an Identified User’s THS account will remain in effect until compliance </w:t>
      </w:r>
      <w:r w:rsidR="006769EC">
        <w:rPr>
          <w:color w:val="000000"/>
          <w:sz w:val="19"/>
          <w:szCs w:val="19"/>
        </w:rPr>
        <w:t xml:space="preserve">with the THS assessment requirements </w:t>
      </w:r>
      <w:r w:rsidR="00635440">
        <w:rPr>
          <w:color w:val="000000"/>
          <w:sz w:val="19"/>
          <w:szCs w:val="19"/>
        </w:rPr>
        <w:t>has been confirmed</w:t>
      </w:r>
      <w:r w:rsidR="006769EC">
        <w:rPr>
          <w:color w:val="000000"/>
          <w:sz w:val="19"/>
          <w:szCs w:val="19"/>
        </w:rPr>
        <w:t>.  Refer to the section “Reinstatement of De-Activated Account</w:t>
      </w:r>
      <w:r w:rsidR="00E52089">
        <w:rPr>
          <w:color w:val="000000"/>
          <w:sz w:val="19"/>
          <w:szCs w:val="19"/>
        </w:rPr>
        <w:t>”</w:t>
      </w:r>
      <w:r w:rsidR="006769EC">
        <w:rPr>
          <w:color w:val="000000"/>
          <w:sz w:val="19"/>
          <w:szCs w:val="19"/>
        </w:rPr>
        <w:t xml:space="preserve">. </w:t>
      </w:r>
      <w:r w:rsidR="00635440">
        <w:rPr>
          <w:color w:val="000000"/>
          <w:sz w:val="19"/>
          <w:szCs w:val="19"/>
        </w:rPr>
        <w:t xml:space="preserve"> </w:t>
      </w:r>
    </w:p>
    <w:p w:rsidR="008A0B99" w:rsidRDefault="008A0B99" w:rsidP="008A0B99">
      <w:pPr>
        <w:pStyle w:val="Heading2"/>
        <w:rPr>
          <w:sz w:val="27"/>
          <w:szCs w:val="27"/>
        </w:rPr>
      </w:pPr>
      <w:r>
        <w:rPr>
          <w:sz w:val="27"/>
          <w:szCs w:val="27"/>
        </w:rPr>
        <w:t>Reinstatement of De</w:t>
      </w:r>
      <w:r w:rsidR="00635440">
        <w:rPr>
          <w:sz w:val="27"/>
          <w:szCs w:val="27"/>
        </w:rPr>
        <w:t>-activated</w:t>
      </w:r>
      <w:r>
        <w:rPr>
          <w:sz w:val="27"/>
          <w:szCs w:val="27"/>
        </w:rPr>
        <w:t xml:space="preserve"> Account</w:t>
      </w:r>
    </w:p>
    <w:p w:rsidR="00635440" w:rsidRDefault="00635440" w:rsidP="008A0B99">
      <w:pPr>
        <w:pStyle w:val="NormalWeb"/>
        <w:shd w:val="clear" w:color="auto" w:fill="FFFFFF"/>
        <w:rPr>
          <w:color w:val="000000"/>
          <w:sz w:val="19"/>
          <w:szCs w:val="19"/>
        </w:rPr>
      </w:pPr>
      <w:r>
        <w:rPr>
          <w:color w:val="000000"/>
          <w:sz w:val="19"/>
          <w:szCs w:val="19"/>
        </w:rPr>
        <w:t xml:space="preserve">Compliance by the Identified User with the THS assessment requirements, as confirmed by the </w:t>
      </w:r>
      <w:r>
        <w:rPr>
          <w:rStyle w:val="HTMLAcronym"/>
          <w:color w:val="000000"/>
          <w:sz w:val="19"/>
          <w:szCs w:val="19"/>
        </w:rPr>
        <w:t>PWGSC</w:t>
      </w:r>
      <w:r>
        <w:rPr>
          <w:color w:val="000000"/>
          <w:sz w:val="19"/>
          <w:szCs w:val="19"/>
        </w:rPr>
        <w:t xml:space="preserve"> </w:t>
      </w:r>
      <w:r>
        <w:rPr>
          <w:rStyle w:val="HTMLAcronym"/>
          <w:color w:val="000000"/>
          <w:sz w:val="19"/>
          <w:szCs w:val="19"/>
        </w:rPr>
        <w:t>OSD</w:t>
      </w:r>
      <w:r>
        <w:rPr>
          <w:color w:val="000000"/>
          <w:sz w:val="19"/>
          <w:szCs w:val="19"/>
        </w:rPr>
        <w:t xml:space="preserve"> representative, will result in a recommendation being sent to the THS Standing Offer/Supply Arrangement Authority to re-activate the Identified User’s THS account.  Re-activation of a THS Identified User’s </w:t>
      </w:r>
      <w:r w:rsidR="008901EE">
        <w:rPr>
          <w:color w:val="000000"/>
          <w:sz w:val="19"/>
          <w:szCs w:val="19"/>
        </w:rPr>
        <w:t>will be at the sole discretion of the THS Standing Offer/Supply Arrangement Authority.</w:t>
      </w:r>
    </w:p>
    <w:p w:rsidR="008A0B99" w:rsidRDefault="008A0B99" w:rsidP="008A0B99">
      <w:pPr>
        <w:pStyle w:val="Heading2"/>
        <w:rPr>
          <w:sz w:val="27"/>
          <w:szCs w:val="27"/>
        </w:rPr>
      </w:pPr>
      <w:r>
        <w:rPr>
          <w:sz w:val="27"/>
          <w:szCs w:val="27"/>
        </w:rPr>
        <w:t>Appeal Process</w:t>
      </w:r>
      <w:r w:rsidR="008901EE">
        <w:rPr>
          <w:sz w:val="27"/>
          <w:szCs w:val="27"/>
        </w:rPr>
        <w:t xml:space="preserve"> – Assessment Findings</w:t>
      </w:r>
    </w:p>
    <w:p w:rsidR="008A0B99" w:rsidRDefault="00336FB5" w:rsidP="008A0B99">
      <w:pPr>
        <w:pStyle w:val="NormalWeb"/>
        <w:shd w:val="clear" w:color="auto" w:fill="FFFFFF"/>
        <w:rPr>
          <w:color w:val="000000"/>
          <w:sz w:val="19"/>
          <w:szCs w:val="19"/>
        </w:rPr>
      </w:pPr>
      <w:r w:rsidRPr="008901EE">
        <w:rPr>
          <w:color w:val="000000"/>
          <w:sz w:val="19"/>
          <w:szCs w:val="19"/>
        </w:rPr>
        <w:t>The manager</w:t>
      </w:r>
      <w:r w:rsidR="008901EE" w:rsidRPr="008901EE">
        <w:rPr>
          <w:color w:val="000000"/>
          <w:sz w:val="19"/>
          <w:szCs w:val="19"/>
        </w:rPr>
        <w:t xml:space="preserve"> </w:t>
      </w:r>
      <w:r w:rsidRPr="008901EE">
        <w:rPr>
          <w:color w:val="000000"/>
          <w:sz w:val="19"/>
          <w:szCs w:val="19"/>
        </w:rPr>
        <w:t xml:space="preserve">of the </w:t>
      </w:r>
      <w:r w:rsidR="00987EE4" w:rsidRPr="008901EE">
        <w:rPr>
          <w:color w:val="000000"/>
          <w:sz w:val="19"/>
          <w:szCs w:val="19"/>
        </w:rPr>
        <w:t xml:space="preserve">Identified </w:t>
      </w:r>
      <w:r w:rsidR="0026059E" w:rsidRPr="008901EE">
        <w:rPr>
          <w:color w:val="000000"/>
          <w:sz w:val="19"/>
          <w:szCs w:val="19"/>
        </w:rPr>
        <w:t>User,</w:t>
      </w:r>
      <w:r w:rsidR="00987EE4" w:rsidRPr="008901EE">
        <w:rPr>
          <w:color w:val="000000"/>
          <w:sz w:val="19"/>
          <w:szCs w:val="19"/>
        </w:rPr>
        <w:t xml:space="preserve"> </w:t>
      </w:r>
      <w:r w:rsidRPr="008901EE">
        <w:rPr>
          <w:color w:val="000000"/>
          <w:sz w:val="19"/>
          <w:szCs w:val="19"/>
        </w:rPr>
        <w:t>who was assessed</w:t>
      </w:r>
      <w:r w:rsidR="006769EC">
        <w:rPr>
          <w:color w:val="000000"/>
          <w:sz w:val="19"/>
          <w:szCs w:val="19"/>
        </w:rPr>
        <w:t>,</w:t>
      </w:r>
      <w:r w:rsidRPr="008901EE">
        <w:rPr>
          <w:color w:val="000000"/>
          <w:sz w:val="19"/>
          <w:szCs w:val="19"/>
        </w:rPr>
        <w:t xml:space="preserve"> </w:t>
      </w:r>
      <w:r w:rsidR="008A0B99" w:rsidRPr="008901EE">
        <w:rPr>
          <w:color w:val="000000"/>
          <w:sz w:val="19"/>
          <w:szCs w:val="19"/>
        </w:rPr>
        <w:t xml:space="preserve">may appeal the </w:t>
      </w:r>
      <w:r w:rsidR="00FE630E" w:rsidRPr="008901EE">
        <w:rPr>
          <w:color w:val="000000"/>
          <w:sz w:val="19"/>
          <w:szCs w:val="19"/>
        </w:rPr>
        <w:t>assessment findings</w:t>
      </w:r>
      <w:r w:rsidR="008A0B99" w:rsidRPr="008901EE">
        <w:rPr>
          <w:color w:val="000000"/>
          <w:sz w:val="19"/>
          <w:szCs w:val="19"/>
        </w:rPr>
        <w:t>. All</w:t>
      </w:r>
      <w:r w:rsidR="008A0B99">
        <w:rPr>
          <w:color w:val="000000"/>
          <w:sz w:val="19"/>
          <w:szCs w:val="19"/>
        </w:rPr>
        <w:t xml:space="preserve"> appeals must be made in writing and shall include rationale for the appeal as well as any evidence in support of the appeal. To be considered, any appeal must be made within </w:t>
      </w:r>
      <w:r w:rsidR="00FE630E">
        <w:rPr>
          <w:color w:val="000000"/>
          <w:sz w:val="19"/>
          <w:szCs w:val="19"/>
        </w:rPr>
        <w:t>6</w:t>
      </w:r>
      <w:r w:rsidR="008A0B99">
        <w:rPr>
          <w:color w:val="000000"/>
          <w:sz w:val="19"/>
          <w:szCs w:val="19"/>
        </w:rPr>
        <w:t xml:space="preserve">0 days of the date of </w:t>
      </w:r>
      <w:r w:rsidR="00FE630E">
        <w:rPr>
          <w:color w:val="000000"/>
          <w:sz w:val="19"/>
          <w:szCs w:val="19"/>
        </w:rPr>
        <w:t>receipt of the assessment findings</w:t>
      </w:r>
      <w:r w:rsidR="008A0B99">
        <w:rPr>
          <w:color w:val="000000"/>
          <w:sz w:val="19"/>
          <w:szCs w:val="19"/>
        </w:rPr>
        <w:t>.</w:t>
      </w:r>
    </w:p>
    <w:p w:rsidR="00BD2AA8" w:rsidRDefault="008A0B99" w:rsidP="00002B3A">
      <w:pPr>
        <w:pStyle w:val="NormalWeb"/>
        <w:rPr>
          <w:color w:val="000000"/>
          <w:sz w:val="19"/>
          <w:szCs w:val="19"/>
        </w:rPr>
      </w:pPr>
      <w:r>
        <w:rPr>
          <w:color w:val="000000"/>
          <w:sz w:val="19"/>
          <w:szCs w:val="19"/>
        </w:rPr>
        <w:t xml:space="preserve">The </w:t>
      </w:r>
      <w:r w:rsidR="00FE630E">
        <w:rPr>
          <w:color w:val="000000"/>
          <w:sz w:val="19"/>
          <w:szCs w:val="19"/>
        </w:rPr>
        <w:t>Manager</w:t>
      </w:r>
      <w:r w:rsidR="006769EC">
        <w:rPr>
          <w:color w:val="000000"/>
          <w:sz w:val="19"/>
          <w:szCs w:val="19"/>
        </w:rPr>
        <w:t xml:space="preserve">, Online Services Division, (OSD), </w:t>
      </w:r>
      <w:r>
        <w:rPr>
          <w:color w:val="000000"/>
          <w:sz w:val="19"/>
          <w:szCs w:val="19"/>
        </w:rPr>
        <w:t xml:space="preserve">will review the submitted information and if necessary, institute an investigation into the complaint. The </w:t>
      </w:r>
      <w:r w:rsidR="006769EC">
        <w:rPr>
          <w:color w:val="000000"/>
          <w:sz w:val="19"/>
          <w:szCs w:val="19"/>
        </w:rPr>
        <w:t>O</w:t>
      </w:r>
      <w:r w:rsidR="00565F02">
        <w:rPr>
          <w:color w:val="000000"/>
          <w:sz w:val="19"/>
          <w:szCs w:val="19"/>
        </w:rPr>
        <w:t>S</w:t>
      </w:r>
      <w:r w:rsidR="006769EC">
        <w:rPr>
          <w:color w:val="000000"/>
          <w:sz w:val="19"/>
          <w:szCs w:val="19"/>
        </w:rPr>
        <w:t xml:space="preserve">D </w:t>
      </w:r>
      <w:r w:rsidR="00FE630E">
        <w:rPr>
          <w:color w:val="000000"/>
          <w:sz w:val="19"/>
          <w:szCs w:val="19"/>
        </w:rPr>
        <w:t xml:space="preserve">Manager may perform the investigation or assign it to the </w:t>
      </w:r>
      <w:r w:rsidR="006769EC">
        <w:rPr>
          <w:color w:val="000000"/>
          <w:sz w:val="19"/>
          <w:szCs w:val="19"/>
        </w:rPr>
        <w:t xml:space="preserve">OSD </w:t>
      </w:r>
      <w:r>
        <w:rPr>
          <w:color w:val="000000"/>
          <w:sz w:val="19"/>
          <w:szCs w:val="19"/>
        </w:rPr>
        <w:t>Team Leader</w:t>
      </w:r>
      <w:r w:rsidR="00FE630E">
        <w:rPr>
          <w:color w:val="000000"/>
          <w:sz w:val="19"/>
          <w:szCs w:val="19"/>
        </w:rPr>
        <w:t>, Assessment Team, OSD</w:t>
      </w:r>
      <w:r>
        <w:rPr>
          <w:color w:val="000000"/>
          <w:sz w:val="19"/>
          <w:szCs w:val="19"/>
        </w:rPr>
        <w:t xml:space="preserve"> or another </w:t>
      </w:r>
      <w:r>
        <w:rPr>
          <w:rStyle w:val="HTMLAcronym"/>
          <w:color w:val="000000"/>
          <w:sz w:val="19"/>
          <w:szCs w:val="19"/>
        </w:rPr>
        <w:t>OSD</w:t>
      </w:r>
      <w:r>
        <w:rPr>
          <w:color w:val="000000"/>
          <w:sz w:val="19"/>
          <w:szCs w:val="19"/>
        </w:rPr>
        <w:t xml:space="preserve"> officer, other than the officer responsible for the original </w:t>
      </w:r>
      <w:r w:rsidR="00FE630E">
        <w:rPr>
          <w:color w:val="000000"/>
          <w:sz w:val="19"/>
          <w:szCs w:val="19"/>
        </w:rPr>
        <w:t>assessment</w:t>
      </w:r>
      <w:r>
        <w:rPr>
          <w:color w:val="000000"/>
          <w:sz w:val="19"/>
          <w:szCs w:val="19"/>
        </w:rPr>
        <w:t xml:space="preserve">. The </w:t>
      </w:r>
      <w:r w:rsidR="006769EC">
        <w:rPr>
          <w:color w:val="000000"/>
          <w:sz w:val="19"/>
          <w:szCs w:val="19"/>
        </w:rPr>
        <w:t xml:space="preserve">OSD </w:t>
      </w:r>
      <w:r w:rsidR="00FE630E">
        <w:rPr>
          <w:color w:val="000000"/>
          <w:sz w:val="19"/>
          <w:szCs w:val="19"/>
        </w:rPr>
        <w:t>Manager</w:t>
      </w:r>
      <w:r>
        <w:rPr>
          <w:color w:val="000000"/>
          <w:sz w:val="19"/>
          <w:szCs w:val="19"/>
        </w:rPr>
        <w:t xml:space="preserve"> will notify the appellant in writing, of the decision, within 30 days.</w:t>
      </w:r>
    </w:p>
    <w:p w:rsidR="008901EE" w:rsidRDefault="008901EE" w:rsidP="008901EE">
      <w:pPr>
        <w:pStyle w:val="Heading2"/>
        <w:rPr>
          <w:sz w:val="27"/>
          <w:szCs w:val="27"/>
        </w:rPr>
      </w:pPr>
      <w:r w:rsidRPr="00196824">
        <w:rPr>
          <w:sz w:val="27"/>
          <w:szCs w:val="27"/>
        </w:rPr>
        <w:t>Appeal Process – De-activation of Identified User’s Account</w:t>
      </w:r>
    </w:p>
    <w:p w:rsidR="008901EE" w:rsidRDefault="008901EE" w:rsidP="008901EE">
      <w:pPr>
        <w:pStyle w:val="NormalWeb"/>
        <w:rPr>
          <w:color w:val="000000"/>
          <w:sz w:val="19"/>
          <w:szCs w:val="19"/>
        </w:rPr>
      </w:pPr>
      <w:r w:rsidRPr="008901EE">
        <w:rPr>
          <w:color w:val="000000"/>
          <w:sz w:val="19"/>
          <w:szCs w:val="19"/>
        </w:rPr>
        <w:t xml:space="preserve">The manager of the Identified User </w:t>
      </w:r>
      <w:r w:rsidR="004C4D4C">
        <w:rPr>
          <w:color w:val="000000"/>
          <w:sz w:val="19"/>
          <w:szCs w:val="19"/>
        </w:rPr>
        <w:t xml:space="preserve">for which the </w:t>
      </w:r>
      <w:r>
        <w:rPr>
          <w:color w:val="000000"/>
          <w:sz w:val="19"/>
          <w:szCs w:val="19"/>
        </w:rPr>
        <w:t>THS account was de-activated</w:t>
      </w:r>
      <w:r w:rsidR="006769EC">
        <w:rPr>
          <w:color w:val="000000"/>
          <w:sz w:val="19"/>
          <w:szCs w:val="19"/>
        </w:rPr>
        <w:t>,</w:t>
      </w:r>
      <w:r>
        <w:rPr>
          <w:color w:val="000000"/>
          <w:sz w:val="19"/>
          <w:szCs w:val="19"/>
        </w:rPr>
        <w:t xml:space="preserve"> </w:t>
      </w:r>
      <w:r w:rsidRPr="008901EE">
        <w:rPr>
          <w:color w:val="000000"/>
          <w:sz w:val="19"/>
          <w:szCs w:val="19"/>
        </w:rPr>
        <w:t xml:space="preserve">may appeal the </w:t>
      </w:r>
      <w:r>
        <w:rPr>
          <w:color w:val="000000"/>
          <w:sz w:val="19"/>
          <w:szCs w:val="19"/>
        </w:rPr>
        <w:t>de-activation in writing, to the Manager, Procurement Strategies Division (PSD)</w:t>
      </w:r>
      <w:r w:rsidRPr="008901EE">
        <w:rPr>
          <w:color w:val="000000"/>
          <w:sz w:val="19"/>
          <w:szCs w:val="19"/>
        </w:rPr>
        <w:t>.</w:t>
      </w:r>
      <w:r>
        <w:rPr>
          <w:color w:val="000000"/>
          <w:sz w:val="19"/>
          <w:szCs w:val="19"/>
        </w:rPr>
        <w:t xml:space="preserve"> </w:t>
      </w:r>
      <w:r w:rsidRPr="008901EE">
        <w:rPr>
          <w:color w:val="000000"/>
          <w:sz w:val="19"/>
          <w:szCs w:val="19"/>
        </w:rPr>
        <w:t xml:space="preserve"> All</w:t>
      </w:r>
      <w:r>
        <w:rPr>
          <w:color w:val="000000"/>
          <w:sz w:val="19"/>
          <w:szCs w:val="19"/>
        </w:rPr>
        <w:t xml:space="preserve"> appeals must be made in writing and shall include rationale for the appeal as well as any evidence in support of the appeal.</w:t>
      </w:r>
    </w:p>
    <w:p w:rsidR="008901EE" w:rsidRPr="008A0B99" w:rsidRDefault="008901EE" w:rsidP="008901EE">
      <w:pPr>
        <w:pStyle w:val="NormalWeb"/>
      </w:pPr>
      <w:r>
        <w:rPr>
          <w:color w:val="000000"/>
          <w:sz w:val="19"/>
          <w:szCs w:val="19"/>
        </w:rPr>
        <w:t>The Manager</w:t>
      </w:r>
      <w:r w:rsidR="006769EC">
        <w:rPr>
          <w:color w:val="000000"/>
          <w:sz w:val="19"/>
          <w:szCs w:val="19"/>
        </w:rPr>
        <w:t xml:space="preserve">, Procurement Strategies Division, (PSD), </w:t>
      </w:r>
      <w:r>
        <w:rPr>
          <w:color w:val="000000"/>
          <w:sz w:val="19"/>
          <w:szCs w:val="19"/>
        </w:rPr>
        <w:t xml:space="preserve">will review the submitted information and if necessary, institute an investigation. The </w:t>
      </w:r>
      <w:r w:rsidR="006769EC">
        <w:rPr>
          <w:color w:val="000000"/>
          <w:sz w:val="19"/>
          <w:szCs w:val="19"/>
        </w:rPr>
        <w:t xml:space="preserve">PSD </w:t>
      </w:r>
      <w:r w:rsidR="0026059E">
        <w:rPr>
          <w:color w:val="000000"/>
          <w:sz w:val="19"/>
          <w:szCs w:val="19"/>
        </w:rPr>
        <w:t>Manager</w:t>
      </w:r>
      <w:r>
        <w:rPr>
          <w:color w:val="000000"/>
          <w:sz w:val="19"/>
          <w:szCs w:val="19"/>
        </w:rPr>
        <w:t xml:space="preserve"> may perform the investigation or assign it to </w:t>
      </w:r>
      <w:r w:rsidR="006769EC">
        <w:rPr>
          <w:color w:val="000000"/>
          <w:sz w:val="19"/>
          <w:szCs w:val="19"/>
        </w:rPr>
        <w:t xml:space="preserve">the PSD </w:t>
      </w:r>
      <w:r w:rsidR="00196824">
        <w:rPr>
          <w:color w:val="000000"/>
          <w:sz w:val="19"/>
          <w:szCs w:val="19"/>
        </w:rPr>
        <w:t>THS Standing Offer/Supply Arrangement Authority</w:t>
      </w:r>
      <w:r>
        <w:rPr>
          <w:color w:val="000000"/>
          <w:sz w:val="19"/>
          <w:szCs w:val="19"/>
        </w:rPr>
        <w:t xml:space="preserve">. The </w:t>
      </w:r>
      <w:r w:rsidR="006769EC">
        <w:rPr>
          <w:color w:val="000000"/>
          <w:sz w:val="19"/>
          <w:szCs w:val="19"/>
        </w:rPr>
        <w:t xml:space="preserve">PSD </w:t>
      </w:r>
      <w:r>
        <w:rPr>
          <w:color w:val="000000"/>
          <w:sz w:val="19"/>
          <w:szCs w:val="19"/>
        </w:rPr>
        <w:t>Manager will notify the appellant in writing, of the decision, within 30 days.</w:t>
      </w:r>
    </w:p>
    <w:sectPr w:rsidR="008901EE" w:rsidRPr="008A0B99" w:rsidSect="008A0B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C9" w:rsidRDefault="00870AC9">
      <w:r>
        <w:separator/>
      </w:r>
    </w:p>
  </w:endnote>
  <w:endnote w:type="continuationSeparator" w:id="0">
    <w:p w:rsidR="00870AC9" w:rsidRDefault="00870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C9" w:rsidRDefault="00870AC9">
      <w:r>
        <w:separator/>
      </w:r>
    </w:p>
  </w:footnote>
  <w:footnote w:type="continuationSeparator" w:id="0">
    <w:p w:rsidR="00870AC9" w:rsidRDefault="00870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4BFC"/>
    <w:multiLevelType w:val="multilevel"/>
    <w:tmpl w:val="812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A49E1"/>
    <w:multiLevelType w:val="multilevel"/>
    <w:tmpl w:val="04F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F2A5B"/>
    <w:multiLevelType w:val="hybridMultilevel"/>
    <w:tmpl w:val="4C860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0B99"/>
    <w:rsid w:val="00002B3A"/>
    <w:rsid w:val="00006418"/>
    <w:rsid w:val="0001166C"/>
    <w:rsid w:val="00024B1C"/>
    <w:rsid w:val="00044E2D"/>
    <w:rsid w:val="00053F06"/>
    <w:rsid w:val="00065043"/>
    <w:rsid w:val="000668EF"/>
    <w:rsid w:val="000926EF"/>
    <w:rsid w:val="00095DB8"/>
    <w:rsid w:val="000B199F"/>
    <w:rsid w:val="000B7FB9"/>
    <w:rsid w:val="000D1B32"/>
    <w:rsid w:val="001050B7"/>
    <w:rsid w:val="00116560"/>
    <w:rsid w:val="00154D8A"/>
    <w:rsid w:val="00156554"/>
    <w:rsid w:val="00162C0F"/>
    <w:rsid w:val="00164267"/>
    <w:rsid w:val="00177696"/>
    <w:rsid w:val="0018099E"/>
    <w:rsid w:val="00184FB8"/>
    <w:rsid w:val="00193487"/>
    <w:rsid w:val="00193ABD"/>
    <w:rsid w:val="00196824"/>
    <w:rsid w:val="001A1DAA"/>
    <w:rsid w:val="001A671F"/>
    <w:rsid w:val="001B67EA"/>
    <w:rsid w:val="001C15EF"/>
    <w:rsid w:val="001E4DCD"/>
    <w:rsid w:val="00222ADE"/>
    <w:rsid w:val="00225870"/>
    <w:rsid w:val="0026059E"/>
    <w:rsid w:val="0026773F"/>
    <w:rsid w:val="00272826"/>
    <w:rsid w:val="00280895"/>
    <w:rsid w:val="0028790B"/>
    <w:rsid w:val="00294DA2"/>
    <w:rsid w:val="002A417E"/>
    <w:rsid w:val="002A588F"/>
    <w:rsid w:val="002A61C8"/>
    <w:rsid w:val="002A682C"/>
    <w:rsid w:val="002C667E"/>
    <w:rsid w:val="002D2BD4"/>
    <w:rsid w:val="002E148A"/>
    <w:rsid w:val="003147A0"/>
    <w:rsid w:val="00320F0C"/>
    <w:rsid w:val="0032550A"/>
    <w:rsid w:val="00336FB5"/>
    <w:rsid w:val="003526D1"/>
    <w:rsid w:val="00352D60"/>
    <w:rsid w:val="003659A7"/>
    <w:rsid w:val="003724A0"/>
    <w:rsid w:val="00381883"/>
    <w:rsid w:val="003876D7"/>
    <w:rsid w:val="0039198D"/>
    <w:rsid w:val="00395CE7"/>
    <w:rsid w:val="003C1283"/>
    <w:rsid w:val="003C3DC0"/>
    <w:rsid w:val="003D1E53"/>
    <w:rsid w:val="003E7B4D"/>
    <w:rsid w:val="003F148B"/>
    <w:rsid w:val="00414E8F"/>
    <w:rsid w:val="00415F64"/>
    <w:rsid w:val="00421448"/>
    <w:rsid w:val="00433F40"/>
    <w:rsid w:val="0046578C"/>
    <w:rsid w:val="0047200B"/>
    <w:rsid w:val="004805A6"/>
    <w:rsid w:val="00492315"/>
    <w:rsid w:val="00494A4D"/>
    <w:rsid w:val="004A0083"/>
    <w:rsid w:val="004A2CFC"/>
    <w:rsid w:val="004C4D4C"/>
    <w:rsid w:val="004D4610"/>
    <w:rsid w:val="004D7E36"/>
    <w:rsid w:val="004E107E"/>
    <w:rsid w:val="004E4261"/>
    <w:rsid w:val="004E6183"/>
    <w:rsid w:val="00504F65"/>
    <w:rsid w:val="005207AD"/>
    <w:rsid w:val="00521D1A"/>
    <w:rsid w:val="00525E4C"/>
    <w:rsid w:val="00531FB2"/>
    <w:rsid w:val="00541D7C"/>
    <w:rsid w:val="00551EDF"/>
    <w:rsid w:val="00565F02"/>
    <w:rsid w:val="005A000B"/>
    <w:rsid w:val="005D01C2"/>
    <w:rsid w:val="005D247F"/>
    <w:rsid w:val="005D6DC2"/>
    <w:rsid w:val="005E137A"/>
    <w:rsid w:val="005E7FB7"/>
    <w:rsid w:val="005F3F95"/>
    <w:rsid w:val="00603039"/>
    <w:rsid w:val="006143EB"/>
    <w:rsid w:val="00622346"/>
    <w:rsid w:val="00624FB3"/>
    <w:rsid w:val="00630092"/>
    <w:rsid w:val="00635440"/>
    <w:rsid w:val="00637B53"/>
    <w:rsid w:val="00641FDC"/>
    <w:rsid w:val="00657849"/>
    <w:rsid w:val="006720CE"/>
    <w:rsid w:val="006769EC"/>
    <w:rsid w:val="006846D0"/>
    <w:rsid w:val="00692DC5"/>
    <w:rsid w:val="006A7136"/>
    <w:rsid w:val="006A78EC"/>
    <w:rsid w:val="006B0681"/>
    <w:rsid w:val="006B2BDE"/>
    <w:rsid w:val="006B3A95"/>
    <w:rsid w:val="007212F2"/>
    <w:rsid w:val="00743046"/>
    <w:rsid w:val="0074337F"/>
    <w:rsid w:val="0075465D"/>
    <w:rsid w:val="00754AA6"/>
    <w:rsid w:val="0075606F"/>
    <w:rsid w:val="00777348"/>
    <w:rsid w:val="007806A7"/>
    <w:rsid w:val="007D2EA6"/>
    <w:rsid w:val="007D39B1"/>
    <w:rsid w:val="007E0BC4"/>
    <w:rsid w:val="007E663F"/>
    <w:rsid w:val="007F1928"/>
    <w:rsid w:val="0081008F"/>
    <w:rsid w:val="00817132"/>
    <w:rsid w:val="00834FE4"/>
    <w:rsid w:val="00854963"/>
    <w:rsid w:val="00864468"/>
    <w:rsid w:val="00866154"/>
    <w:rsid w:val="00870AC9"/>
    <w:rsid w:val="008901EE"/>
    <w:rsid w:val="008A0B99"/>
    <w:rsid w:val="008A7CC5"/>
    <w:rsid w:val="008B4567"/>
    <w:rsid w:val="008B4AF0"/>
    <w:rsid w:val="008B4ED4"/>
    <w:rsid w:val="008B5378"/>
    <w:rsid w:val="008E6328"/>
    <w:rsid w:val="008F4642"/>
    <w:rsid w:val="008F5045"/>
    <w:rsid w:val="0091684A"/>
    <w:rsid w:val="009266EF"/>
    <w:rsid w:val="00946F64"/>
    <w:rsid w:val="00952839"/>
    <w:rsid w:val="00965FBB"/>
    <w:rsid w:val="00976BC4"/>
    <w:rsid w:val="0098327F"/>
    <w:rsid w:val="00985636"/>
    <w:rsid w:val="009873BC"/>
    <w:rsid w:val="00987EE4"/>
    <w:rsid w:val="009C039E"/>
    <w:rsid w:val="009C526C"/>
    <w:rsid w:val="009C76D6"/>
    <w:rsid w:val="009D5EBB"/>
    <w:rsid w:val="009E36AC"/>
    <w:rsid w:val="009F448F"/>
    <w:rsid w:val="00A0597E"/>
    <w:rsid w:val="00A10EC6"/>
    <w:rsid w:val="00A14490"/>
    <w:rsid w:val="00A21211"/>
    <w:rsid w:val="00A26E99"/>
    <w:rsid w:val="00A364E0"/>
    <w:rsid w:val="00A55CD8"/>
    <w:rsid w:val="00A7152F"/>
    <w:rsid w:val="00AC4BE0"/>
    <w:rsid w:val="00AE2D4D"/>
    <w:rsid w:val="00AE4BBD"/>
    <w:rsid w:val="00AF1FB4"/>
    <w:rsid w:val="00AF2FEB"/>
    <w:rsid w:val="00B3006D"/>
    <w:rsid w:val="00B40921"/>
    <w:rsid w:val="00B4141B"/>
    <w:rsid w:val="00B41A8A"/>
    <w:rsid w:val="00B453C1"/>
    <w:rsid w:val="00B52FCA"/>
    <w:rsid w:val="00B5744A"/>
    <w:rsid w:val="00B63956"/>
    <w:rsid w:val="00B83F4D"/>
    <w:rsid w:val="00B87812"/>
    <w:rsid w:val="00BB1E96"/>
    <w:rsid w:val="00BB2139"/>
    <w:rsid w:val="00BB50E7"/>
    <w:rsid w:val="00BC3415"/>
    <w:rsid w:val="00BC7ED5"/>
    <w:rsid w:val="00BD0CC9"/>
    <w:rsid w:val="00BD107B"/>
    <w:rsid w:val="00BD2AA8"/>
    <w:rsid w:val="00BE5FFE"/>
    <w:rsid w:val="00C14785"/>
    <w:rsid w:val="00C246B1"/>
    <w:rsid w:val="00C3260B"/>
    <w:rsid w:val="00C3451C"/>
    <w:rsid w:val="00C35730"/>
    <w:rsid w:val="00C53983"/>
    <w:rsid w:val="00C60DBC"/>
    <w:rsid w:val="00C639B7"/>
    <w:rsid w:val="00C71CAA"/>
    <w:rsid w:val="00C82193"/>
    <w:rsid w:val="00C95AB3"/>
    <w:rsid w:val="00C95CC9"/>
    <w:rsid w:val="00CA7A6E"/>
    <w:rsid w:val="00CB1890"/>
    <w:rsid w:val="00CB244E"/>
    <w:rsid w:val="00CC4B62"/>
    <w:rsid w:val="00CC7968"/>
    <w:rsid w:val="00CD6802"/>
    <w:rsid w:val="00CE6D98"/>
    <w:rsid w:val="00CF4431"/>
    <w:rsid w:val="00D12C13"/>
    <w:rsid w:val="00D20B29"/>
    <w:rsid w:val="00D32EE9"/>
    <w:rsid w:val="00D42071"/>
    <w:rsid w:val="00D47932"/>
    <w:rsid w:val="00D73105"/>
    <w:rsid w:val="00D85A21"/>
    <w:rsid w:val="00DA5BB8"/>
    <w:rsid w:val="00DC6339"/>
    <w:rsid w:val="00E047C1"/>
    <w:rsid w:val="00E249B7"/>
    <w:rsid w:val="00E44BC1"/>
    <w:rsid w:val="00E52089"/>
    <w:rsid w:val="00E61583"/>
    <w:rsid w:val="00E71AEF"/>
    <w:rsid w:val="00EA2829"/>
    <w:rsid w:val="00EA5713"/>
    <w:rsid w:val="00EB314F"/>
    <w:rsid w:val="00ED50E7"/>
    <w:rsid w:val="00ED6D7F"/>
    <w:rsid w:val="00EE64F8"/>
    <w:rsid w:val="00F11130"/>
    <w:rsid w:val="00F71EE0"/>
    <w:rsid w:val="00F86447"/>
    <w:rsid w:val="00F869E0"/>
    <w:rsid w:val="00F96A66"/>
    <w:rsid w:val="00FA3043"/>
    <w:rsid w:val="00FC06EA"/>
    <w:rsid w:val="00FE207A"/>
    <w:rsid w:val="00FE630E"/>
    <w:rsid w:val="00FF1181"/>
    <w:rsid w:val="00FF3D4D"/>
    <w:rsid w:val="00FF4D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66C"/>
    <w:rPr>
      <w:sz w:val="24"/>
      <w:szCs w:val="24"/>
    </w:rPr>
  </w:style>
  <w:style w:type="paragraph" w:styleId="Heading2">
    <w:name w:val="heading 2"/>
    <w:basedOn w:val="Normal"/>
    <w:qFormat/>
    <w:rsid w:val="008A0B99"/>
    <w:pPr>
      <w:spacing w:before="100" w:beforeAutospacing="1" w:after="100" w:afterAutospacing="1"/>
      <w:outlineLvl w:val="1"/>
    </w:pPr>
    <w:rPr>
      <w:rFonts w:ascii="Verdana" w:hAnsi="Verdana"/>
      <w:b/>
      <w:bCs/>
      <w:color w:val="33669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B99"/>
    <w:pPr>
      <w:spacing w:before="100" w:beforeAutospacing="1" w:after="100" w:afterAutospacing="1"/>
    </w:pPr>
    <w:rPr>
      <w:rFonts w:ascii="Verdana" w:hAnsi="Verdana"/>
    </w:rPr>
  </w:style>
  <w:style w:type="character" w:styleId="HTMLAcronym">
    <w:name w:val="HTML Acronym"/>
    <w:basedOn w:val="DefaultParagraphFont"/>
    <w:rsid w:val="008A0B99"/>
  </w:style>
  <w:style w:type="character" w:styleId="Strong">
    <w:name w:val="Strong"/>
    <w:basedOn w:val="DefaultParagraphFont"/>
    <w:qFormat/>
    <w:rsid w:val="008A0B99"/>
    <w:rPr>
      <w:b/>
      <w:bCs/>
    </w:rPr>
  </w:style>
  <w:style w:type="paragraph" w:styleId="BalloonText">
    <w:name w:val="Balloon Text"/>
    <w:basedOn w:val="Normal"/>
    <w:semiHidden/>
    <w:rsid w:val="00421448"/>
    <w:rPr>
      <w:rFonts w:ascii="Tahoma" w:hAnsi="Tahoma" w:cs="Tahoma"/>
      <w:sz w:val="16"/>
      <w:szCs w:val="16"/>
    </w:rPr>
  </w:style>
  <w:style w:type="character" w:styleId="CommentReference">
    <w:name w:val="annotation reference"/>
    <w:basedOn w:val="DefaultParagraphFont"/>
    <w:semiHidden/>
    <w:rsid w:val="003876D7"/>
    <w:rPr>
      <w:sz w:val="16"/>
      <w:szCs w:val="16"/>
    </w:rPr>
  </w:style>
  <w:style w:type="paragraph" w:styleId="CommentText">
    <w:name w:val="annotation text"/>
    <w:basedOn w:val="Normal"/>
    <w:semiHidden/>
    <w:rsid w:val="003876D7"/>
    <w:rPr>
      <w:sz w:val="20"/>
      <w:szCs w:val="20"/>
    </w:rPr>
  </w:style>
  <w:style w:type="paragraph" w:styleId="CommentSubject">
    <w:name w:val="annotation subject"/>
    <w:basedOn w:val="CommentText"/>
    <w:next w:val="CommentText"/>
    <w:semiHidden/>
    <w:rsid w:val="003876D7"/>
    <w:rPr>
      <w:b/>
      <w:bCs/>
    </w:rPr>
  </w:style>
  <w:style w:type="paragraph" w:styleId="Header">
    <w:name w:val="header"/>
    <w:basedOn w:val="Normal"/>
    <w:rsid w:val="0026059E"/>
    <w:pPr>
      <w:tabs>
        <w:tab w:val="center" w:pos="4320"/>
        <w:tab w:val="right" w:pos="8640"/>
      </w:tabs>
    </w:pPr>
  </w:style>
  <w:style w:type="paragraph" w:styleId="Footer">
    <w:name w:val="footer"/>
    <w:basedOn w:val="Normal"/>
    <w:rsid w:val="0026059E"/>
    <w:pPr>
      <w:tabs>
        <w:tab w:val="center" w:pos="4320"/>
        <w:tab w:val="right" w:pos="8640"/>
      </w:tabs>
    </w:pPr>
  </w:style>
  <w:style w:type="character" w:styleId="Hyperlink">
    <w:name w:val="Hyperlink"/>
    <w:basedOn w:val="DefaultParagraphFont"/>
    <w:rsid w:val="00565F02"/>
    <w:rPr>
      <w:color w:val="0000FF"/>
      <w:u w:val="single"/>
    </w:rPr>
  </w:style>
  <w:style w:type="character" w:styleId="FollowedHyperlink">
    <w:name w:val="FollowedHyperlink"/>
    <w:basedOn w:val="DefaultParagraphFont"/>
    <w:rsid w:val="00622346"/>
    <w:rPr>
      <w:color w:val="800080"/>
      <w:u w:val="single"/>
    </w:rPr>
  </w:style>
</w:styles>
</file>

<file path=word/webSettings.xml><?xml version="1.0" encoding="utf-8"?>
<w:webSettings xmlns:r="http://schemas.openxmlformats.org/officeDocument/2006/relationships" xmlns:w="http://schemas.openxmlformats.org/wordprocessingml/2006/main">
  <w:divs>
    <w:div w:id="770006185">
      <w:bodyDiv w:val="1"/>
      <w:marLeft w:val="0"/>
      <w:marRight w:val="0"/>
      <w:marTop w:val="0"/>
      <w:marBottom w:val="0"/>
      <w:divBdr>
        <w:top w:val="none" w:sz="0" w:space="0" w:color="auto"/>
        <w:left w:val="none" w:sz="0" w:space="0" w:color="auto"/>
        <w:bottom w:val="none" w:sz="0" w:space="0" w:color="auto"/>
        <w:right w:val="none" w:sz="0" w:space="0" w:color="auto"/>
      </w:divBdr>
    </w:div>
    <w:div w:id="1020274232">
      <w:bodyDiv w:val="1"/>
      <w:marLeft w:val="0"/>
      <w:marRight w:val="0"/>
      <w:marTop w:val="0"/>
      <w:marBottom w:val="0"/>
      <w:divBdr>
        <w:top w:val="none" w:sz="0" w:space="0" w:color="auto"/>
        <w:left w:val="none" w:sz="0" w:space="0" w:color="auto"/>
        <w:bottom w:val="none" w:sz="0" w:space="0" w:color="auto"/>
        <w:right w:val="none" w:sz="0" w:space="0" w:color="auto"/>
      </w:divBdr>
      <w:divsChild>
        <w:div w:id="200284076">
          <w:marLeft w:val="0"/>
          <w:marRight w:val="0"/>
          <w:marTop w:val="0"/>
          <w:marBottom w:val="0"/>
          <w:divBdr>
            <w:top w:val="none" w:sz="0" w:space="0" w:color="auto"/>
            <w:left w:val="none" w:sz="0" w:space="0" w:color="auto"/>
            <w:bottom w:val="none" w:sz="0" w:space="0" w:color="auto"/>
            <w:right w:val="none" w:sz="0" w:space="0" w:color="auto"/>
          </w:divBdr>
          <w:divsChild>
            <w:div w:id="2040278239">
              <w:marLeft w:val="0"/>
              <w:marRight w:val="0"/>
              <w:marTop w:val="0"/>
              <w:marBottom w:val="0"/>
              <w:divBdr>
                <w:top w:val="none" w:sz="0" w:space="0" w:color="auto"/>
                <w:left w:val="none" w:sz="0" w:space="0" w:color="auto"/>
                <w:bottom w:val="none" w:sz="0" w:space="0" w:color="auto"/>
                <w:right w:val="none" w:sz="0" w:space="0" w:color="auto"/>
              </w:divBdr>
              <w:divsChild>
                <w:div w:id="27609593">
                  <w:marLeft w:val="0"/>
                  <w:marRight w:val="0"/>
                  <w:marTop w:val="0"/>
                  <w:marBottom w:val="0"/>
                  <w:divBdr>
                    <w:top w:val="none" w:sz="0" w:space="0" w:color="auto"/>
                    <w:left w:val="none" w:sz="0" w:space="0" w:color="auto"/>
                    <w:bottom w:val="none" w:sz="0" w:space="0" w:color="auto"/>
                    <w:right w:val="none" w:sz="0" w:space="0" w:color="auto"/>
                  </w:divBdr>
                  <w:divsChild>
                    <w:div w:id="62134817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o-boa.gc.ca/praapp-prorev/2011-2012/spe-pso-e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Assessment Framework</vt:lpstr>
    </vt:vector>
  </TitlesOfParts>
  <Company>PWGSC/TPSGC</Company>
  <LinksUpToDate>false</LinksUpToDate>
  <CharactersWithSpaces>8559</CharactersWithSpaces>
  <SharedDoc>false</SharedDoc>
  <HLinks>
    <vt:vector size="6" baseType="variant">
      <vt:variant>
        <vt:i4>1572886</vt:i4>
      </vt:variant>
      <vt:variant>
        <vt:i4>0</vt:i4>
      </vt:variant>
      <vt:variant>
        <vt:i4>0</vt:i4>
      </vt:variant>
      <vt:variant>
        <vt:i4>5</vt:i4>
      </vt:variant>
      <vt:variant>
        <vt:lpwstr>http://opo-boa.gc.ca/praapp-prorev/2011-2012/spe-pso-eng.html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Framework</dc:title>
  <dc:creator>BattaglP</dc:creator>
  <cp:lastModifiedBy>BurgessC</cp:lastModifiedBy>
  <cp:revision>8</cp:revision>
  <dcterms:created xsi:type="dcterms:W3CDTF">2013-03-26T17:28:00Z</dcterms:created>
  <dcterms:modified xsi:type="dcterms:W3CDTF">2013-03-26T19:26:00Z</dcterms:modified>
</cp:coreProperties>
</file>