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B2" w:rsidRPr="00C11D27" w:rsidRDefault="009A64B2" w:rsidP="00E5614E">
      <w:pPr>
        <w:spacing w:after="100" w:afterAutospacing="1"/>
        <w:outlineLvl w:val="1"/>
        <w:rPr>
          <w:rFonts w:ascii="Verdana" w:hAnsi="Verdana"/>
          <w:b/>
          <w:bCs/>
          <w:color w:val="336699"/>
          <w:kern w:val="36"/>
          <w:sz w:val="30"/>
          <w:szCs w:val="30"/>
          <w:lang w:val="fr-CA"/>
        </w:rPr>
      </w:pPr>
      <w:bookmarkStart w:id="0" w:name="cont"/>
      <w:r w:rsidRPr="00C11D27">
        <w:rPr>
          <w:rFonts w:ascii="Verdana" w:hAnsi="Verdana"/>
          <w:b/>
          <w:bCs/>
          <w:color w:val="336699"/>
          <w:kern w:val="36"/>
          <w:sz w:val="30"/>
          <w:szCs w:val="30"/>
          <w:lang w:val="fr-CA"/>
        </w:rPr>
        <w:t>Cadre d’évaluation</w:t>
      </w:r>
      <w:bookmarkEnd w:id="0"/>
    </w:p>
    <w:p w:rsidR="009A64B2" w:rsidRPr="00C11D27" w:rsidRDefault="009A64B2" w:rsidP="00E5614E">
      <w:pPr>
        <w:pStyle w:val="Heading2"/>
        <w:rPr>
          <w:sz w:val="27"/>
          <w:szCs w:val="27"/>
          <w:lang w:val="fr-CA"/>
        </w:rPr>
      </w:pPr>
      <w:r w:rsidRPr="00C11D27">
        <w:rPr>
          <w:sz w:val="27"/>
          <w:szCs w:val="27"/>
          <w:lang w:val="fr-CA"/>
        </w:rPr>
        <w:t>Introduction</w:t>
      </w:r>
    </w:p>
    <w:p w:rsidR="00C01CCA" w:rsidRPr="00C11D27" w:rsidRDefault="00C01CCA" w:rsidP="00E5614E">
      <w:pPr>
        <w:shd w:val="clear" w:color="auto" w:fill="FFFFFF"/>
        <w:rPr>
          <w:rFonts w:ascii="Verdana" w:hAnsi="Verdana"/>
          <w:color w:val="000000"/>
          <w:sz w:val="19"/>
          <w:szCs w:val="19"/>
          <w:lang w:val="fr-CA"/>
        </w:rPr>
      </w:pPr>
      <w:r w:rsidRPr="00C11D27">
        <w:rPr>
          <w:rFonts w:ascii="Verdana" w:hAnsi="Verdana"/>
          <w:color w:val="000000"/>
          <w:sz w:val="19"/>
          <w:szCs w:val="19"/>
          <w:lang w:val="fr-CA"/>
        </w:rPr>
        <w:t>En 2006, le Bureau de la vérificatrice générale</w:t>
      </w:r>
      <w:r w:rsidR="009A64B2" w:rsidRPr="00C11D27">
        <w:rPr>
          <w:rFonts w:ascii="Verdana" w:hAnsi="Verdana"/>
          <w:color w:val="000000"/>
          <w:sz w:val="19"/>
          <w:szCs w:val="19"/>
          <w:lang w:val="fr-CA"/>
        </w:rPr>
        <w:t xml:space="preserve"> (BVG)</w:t>
      </w:r>
      <w:r w:rsidRPr="00C11D27">
        <w:rPr>
          <w:rFonts w:ascii="Verdana" w:hAnsi="Verdana"/>
          <w:color w:val="000000"/>
          <w:sz w:val="19"/>
          <w:szCs w:val="19"/>
          <w:lang w:val="fr-CA"/>
        </w:rPr>
        <w:t xml:space="preserve"> a </w:t>
      </w:r>
      <w:r w:rsidR="00E3213E">
        <w:rPr>
          <w:rFonts w:ascii="Verdana" w:hAnsi="Verdana"/>
          <w:color w:val="000000"/>
          <w:sz w:val="19"/>
          <w:szCs w:val="19"/>
          <w:lang w:val="fr-CA"/>
        </w:rPr>
        <w:t xml:space="preserve">déterminé (Plan d’action de la gestion) </w:t>
      </w:r>
      <w:r w:rsidR="00A2142C">
        <w:rPr>
          <w:rFonts w:ascii="Verdana" w:hAnsi="Verdana"/>
          <w:color w:val="000000"/>
          <w:sz w:val="19"/>
          <w:szCs w:val="19"/>
          <w:lang w:val="fr-CA"/>
        </w:rPr>
        <w:t xml:space="preserve">que la direction devait </w:t>
      </w:r>
      <w:r w:rsidR="00E3213E">
        <w:rPr>
          <w:rFonts w:ascii="Verdana" w:hAnsi="Verdana"/>
          <w:color w:val="000000"/>
          <w:sz w:val="19"/>
          <w:szCs w:val="19"/>
          <w:lang w:val="fr-CA"/>
        </w:rPr>
        <w:t>établir un processus permettant d’</w:t>
      </w:r>
      <w:r w:rsidRPr="00C11D27">
        <w:rPr>
          <w:rFonts w:ascii="Verdana" w:hAnsi="Verdana"/>
          <w:color w:val="000000"/>
          <w:sz w:val="19"/>
          <w:szCs w:val="19"/>
          <w:lang w:val="fr-CA"/>
        </w:rPr>
        <w:t xml:space="preserve">assurer </w:t>
      </w:r>
      <w:r w:rsidR="00E3213E">
        <w:rPr>
          <w:rFonts w:ascii="Verdana" w:hAnsi="Verdana"/>
          <w:color w:val="000000"/>
          <w:sz w:val="19"/>
          <w:szCs w:val="19"/>
          <w:lang w:val="fr-CA"/>
        </w:rPr>
        <w:t xml:space="preserve">la surveillance et </w:t>
      </w:r>
      <w:r w:rsidRPr="00C11D27">
        <w:rPr>
          <w:rFonts w:ascii="Verdana" w:hAnsi="Verdana"/>
          <w:color w:val="000000"/>
          <w:sz w:val="19"/>
          <w:szCs w:val="19"/>
          <w:lang w:val="fr-CA"/>
        </w:rPr>
        <w:t xml:space="preserve">le </w:t>
      </w:r>
      <w:r w:rsidR="009A64B2" w:rsidRPr="00C11D27">
        <w:rPr>
          <w:rFonts w:ascii="Verdana" w:hAnsi="Verdana"/>
          <w:color w:val="000000"/>
          <w:sz w:val="19"/>
          <w:szCs w:val="19"/>
          <w:lang w:val="fr-CA"/>
        </w:rPr>
        <w:t>contrôle</w:t>
      </w:r>
      <w:r w:rsidR="00ED4769">
        <w:rPr>
          <w:rFonts w:ascii="Verdana" w:hAnsi="Verdana"/>
          <w:color w:val="000000"/>
          <w:sz w:val="19"/>
          <w:szCs w:val="19"/>
          <w:lang w:val="fr-CA"/>
        </w:rPr>
        <w:t xml:space="preserve"> de</w:t>
      </w:r>
      <w:r w:rsidR="009A64B2" w:rsidRPr="00C11D27">
        <w:rPr>
          <w:rFonts w:ascii="Verdana" w:hAnsi="Verdana"/>
          <w:color w:val="000000"/>
          <w:sz w:val="19"/>
          <w:szCs w:val="19"/>
          <w:lang w:val="fr-CA"/>
        </w:rPr>
        <w:t xml:space="preserve"> </w:t>
      </w:r>
      <w:r w:rsidR="00E3213E">
        <w:rPr>
          <w:rFonts w:ascii="Verdana" w:hAnsi="Verdana"/>
          <w:color w:val="000000"/>
          <w:sz w:val="19"/>
          <w:szCs w:val="19"/>
          <w:lang w:val="fr-CA"/>
        </w:rPr>
        <w:t xml:space="preserve">l’utilisation du système </w:t>
      </w:r>
      <w:r w:rsidR="00EE3CCF">
        <w:rPr>
          <w:rFonts w:ascii="Verdana" w:hAnsi="Verdana"/>
          <w:color w:val="000000"/>
          <w:sz w:val="19"/>
          <w:szCs w:val="19"/>
          <w:lang w:val="fr-CA"/>
        </w:rPr>
        <w:t xml:space="preserve">des </w:t>
      </w:r>
      <w:r w:rsidR="00E3213E">
        <w:rPr>
          <w:rFonts w:ascii="Verdana" w:hAnsi="Verdana"/>
          <w:color w:val="000000"/>
          <w:sz w:val="19"/>
          <w:szCs w:val="19"/>
          <w:lang w:val="fr-CA"/>
        </w:rPr>
        <w:t>Services professionnels (SP) en ligne</w:t>
      </w:r>
      <w:r w:rsidR="00EE3CCF">
        <w:rPr>
          <w:rFonts w:ascii="Verdana" w:hAnsi="Verdana"/>
          <w:color w:val="000000"/>
          <w:sz w:val="19"/>
          <w:szCs w:val="19"/>
          <w:lang w:val="fr-CA"/>
        </w:rPr>
        <w:t>,</w:t>
      </w:r>
      <w:r w:rsidR="00E3213E">
        <w:rPr>
          <w:rFonts w:ascii="Verdana" w:hAnsi="Verdana"/>
          <w:color w:val="000000"/>
          <w:sz w:val="19"/>
          <w:szCs w:val="19"/>
          <w:lang w:val="fr-CA"/>
        </w:rPr>
        <w:t xml:space="preserve"> afin d’assurer que les ministères et organismes</w:t>
      </w:r>
      <w:r w:rsidR="00D81132">
        <w:rPr>
          <w:rFonts w:ascii="Verdana" w:hAnsi="Verdana"/>
          <w:color w:val="000000"/>
          <w:sz w:val="19"/>
          <w:szCs w:val="19"/>
          <w:lang w:val="fr-CA"/>
        </w:rPr>
        <w:t xml:space="preserve"> fédéraux</w:t>
      </w:r>
      <w:r w:rsidR="006D45BD">
        <w:rPr>
          <w:rFonts w:ascii="Verdana" w:hAnsi="Verdana"/>
          <w:color w:val="000000"/>
          <w:sz w:val="19"/>
          <w:szCs w:val="19"/>
          <w:lang w:val="fr-CA"/>
        </w:rPr>
        <w:t> :</w:t>
      </w:r>
    </w:p>
    <w:p w:rsidR="00C01CCA" w:rsidRPr="00C11D27" w:rsidRDefault="0090195A" w:rsidP="00E5614E">
      <w:pPr>
        <w:numPr>
          <w:ilvl w:val="0"/>
          <w:numId w:val="1"/>
        </w:numPr>
        <w:shd w:val="clear" w:color="auto" w:fill="FFFFFF"/>
        <w:spacing w:before="100" w:beforeAutospacing="1" w:after="100" w:afterAutospacing="1"/>
        <w:rPr>
          <w:rFonts w:ascii="Verdana" w:hAnsi="Verdana"/>
          <w:color w:val="000000"/>
          <w:sz w:val="19"/>
          <w:szCs w:val="19"/>
          <w:lang w:val="fr-CA"/>
        </w:rPr>
      </w:pPr>
      <w:r>
        <w:rPr>
          <w:rFonts w:ascii="Verdana" w:hAnsi="Verdana"/>
          <w:color w:val="000000"/>
          <w:sz w:val="19"/>
          <w:szCs w:val="19"/>
          <w:lang w:val="fr-CA"/>
        </w:rPr>
        <w:t>r</w:t>
      </w:r>
      <w:r w:rsidR="00C01CCA" w:rsidRPr="00C11D27">
        <w:rPr>
          <w:rFonts w:ascii="Verdana" w:hAnsi="Verdana"/>
          <w:color w:val="000000"/>
          <w:sz w:val="19"/>
          <w:szCs w:val="19"/>
          <w:lang w:val="fr-CA"/>
        </w:rPr>
        <w:t>espectent la Politique sur les marchés du Conseil du Trésor;</w:t>
      </w:r>
    </w:p>
    <w:p w:rsidR="00C01CCA" w:rsidRPr="00C11D27" w:rsidRDefault="00595E1A" w:rsidP="00E5614E">
      <w:pPr>
        <w:numPr>
          <w:ilvl w:val="0"/>
          <w:numId w:val="1"/>
        </w:numPr>
        <w:shd w:val="clear" w:color="auto" w:fill="FFFFFF"/>
        <w:spacing w:before="100" w:beforeAutospacing="1" w:after="100" w:afterAutospacing="1"/>
        <w:rPr>
          <w:rFonts w:ascii="Verdana" w:hAnsi="Verdana"/>
          <w:color w:val="000000"/>
          <w:sz w:val="19"/>
          <w:szCs w:val="19"/>
          <w:lang w:val="fr-CA"/>
        </w:rPr>
      </w:pPr>
      <w:r>
        <w:rPr>
          <w:rFonts w:ascii="Verdana" w:hAnsi="Verdana"/>
          <w:color w:val="000000"/>
          <w:sz w:val="19"/>
          <w:szCs w:val="19"/>
          <w:lang w:val="fr-CA"/>
        </w:rPr>
        <w:t>n</w:t>
      </w:r>
      <w:r w:rsidR="00C01CCA" w:rsidRPr="00C11D27">
        <w:rPr>
          <w:rFonts w:ascii="Verdana" w:hAnsi="Verdana"/>
          <w:color w:val="000000"/>
          <w:sz w:val="19"/>
          <w:szCs w:val="19"/>
          <w:lang w:val="fr-CA"/>
        </w:rPr>
        <w:t>e se servent pas de</w:t>
      </w:r>
      <w:r>
        <w:rPr>
          <w:rFonts w:ascii="Verdana" w:hAnsi="Verdana"/>
          <w:color w:val="000000"/>
          <w:sz w:val="19"/>
          <w:szCs w:val="19"/>
          <w:lang w:val="fr-CA"/>
        </w:rPr>
        <w:t xml:space="preserve"> cet o</w:t>
      </w:r>
      <w:r w:rsidR="00C01CCA" w:rsidRPr="00C11D27">
        <w:rPr>
          <w:rFonts w:ascii="Verdana" w:hAnsi="Verdana"/>
          <w:color w:val="000000"/>
          <w:sz w:val="19"/>
          <w:szCs w:val="19"/>
          <w:lang w:val="fr-CA"/>
        </w:rPr>
        <w:t>util</w:t>
      </w:r>
      <w:r>
        <w:rPr>
          <w:rFonts w:ascii="Verdana" w:hAnsi="Verdana"/>
          <w:color w:val="000000"/>
          <w:sz w:val="19"/>
          <w:szCs w:val="19"/>
          <w:lang w:val="fr-CA"/>
        </w:rPr>
        <w:t xml:space="preserve"> d’approvisionnement</w:t>
      </w:r>
      <w:r w:rsidR="00C01CCA" w:rsidRPr="00C11D27">
        <w:rPr>
          <w:rFonts w:ascii="Verdana" w:hAnsi="Verdana"/>
          <w:color w:val="000000"/>
          <w:sz w:val="19"/>
          <w:szCs w:val="19"/>
          <w:lang w:val="fr-CA"/>
        </w:rPr>
        <w:t xml:space="preserve"> pour contourner les obligations du Canada en vertu des divers accords commerciaux.</w:t>
      </w:r>
    </w:p>
    <w:p w:rsidR="00777F22" w:rsidRPr="007100F9" w:rsidRDefault="00EE3CCF" w:rsidP="00777F22">
      <w:pPr>
        <w:autoSpaceDE w:val="0"/>
        <w:autoSpaceDN w:val="0"/>
        <w:adjustRightInd w:val="0"/>
        <w:rPr>
          <w:rFonts w:ascii="Verdana" w:hAnsi="Verdana"/>
          <w:color w:val="000000"/>
          <w:sz w:val="19"/>
          <w:szCs w:val="19"/>
          <w:lang w:val="fr-CA"/>
        </w:rPr>
      </w:pPr>
      <w:r>
        <w:rPr>
          <w:rFonts w:ascii="Verdana" w:hAnsi="Verdana"/>
          <w:color w:val="000000"/>
          <w:sz w:val="19"/>
          <w:szCs w:val="19"/>
          <w:lang w:val="fr-CA"/>
        </w:rPr>
        <w:t>E</w:t>
      </w:r>
      <w:r w:rsidR="007100F9">
        <w:rPr>
          <w:rFonts w:ascii="Verdana" w:hAnsi="Verdana"/>
          <w:color w:val="000000"/>
          <w:sz w:val="19"/>
          <w:szCs w:val="19"/>
          <w:lang w:val="fr-CA"/>
        </w:rPr>
        <w:t xml:space="preserve">n </w:t>
      </w:r>
      <w:r w:rsidR="00777F22" w:rsidRPr="007100F9">
        <w:rPr>
          <w:rFonts w:ascii="Verdana" w:hAnsi="Verdana"/>
          <w:color w:val="000000"/>
          <w:sz w:val="19"/>
          <w:szCs w:val="19"/>
          <w:lang w:val="fr-CA"/>
        </w:rPr>
        <w:t>2008</w:t>
      </w:r>
      <w:r>
        <w:rPr>
          <w:rFonts w:ascii="Verdana" w:hAnsi="Verdana"/>
          <w:color w:val="000000"/>
          <w:sz w:val="19"/>
          <w:szCs w:val="19"/>
          <w:lang w:val="fr-CA"/>
        </w:rPr>
        <w:t>, un processu</w:t>
      </w:r>
      <w:r w:rsidR="007100F9">
        <w:rPr>
          <w:rFonts w:ascii="Verdana" w:hAnsi="Verdana"/>
          <w:color w:val="000000"/>
          <w:sz w:val="19"/>
          <w:szCs w:val="19"/>
          <w:lang w:val="fr-CA"/>
        </w:rPr>
        <w:t xml:space="preserve">s d’évaluation </w:t>
      </w:r>
      <w:r w:rsidR="00777F22" w:rsidRPr="007100F9">
        <w:rPr>
          <w:rFonts w:ascii="Verdana" w:hAnsi="Verdana"/>
          <w:color w:val="000000"/>
          <w:sz w:val="19"/>
          <w:szCs w:val="19"/>
          <w:lang w:val="fr-CA"/>
        </w:rPr>
        <w:t>(</w:t>
      </w:r>
      <w:r>
        <w:rPr>
          <w:rFonts w:ascii="Verdana" w:hAnsi="Verdana"/>
          <w:color w:val="000000"/>
          <w:sz w:val="19"/>
          <w:szCs w:val="19"/>
          <w:lang w:val="fr-CA"/>
        </w:rPr>
        <w:t>C</w:t>
      </w:r>
      <w:r w:rsidR="007100F9">
        <w:rPr>
          <w:rFonts w:ascii="Verdana" w:hAnsi="Verdana"/>
          <w:color w:val="000000"/>
          <w:sz w:val="19"/>
          <w:szCs w:val="19"/>
          <w:lang w:val="fr-CA"/>
        </w:rPr>
        <w:t>adre d’évaluation</w:t>
      </w:r>
      <w:r w:rsidR="00777F22" w:rsidRPr="007100F9">
        <w:rPr>
          <w:rFonts w:ascii="Verdana" w:hAnsi="Verdana"/>
          <w:color w:val="000000"/>
          <w:sz w:val="19"/>
          <w:szCs w:val="19"/>
          <w:lang w:val="fr-CA"/>
        </w:rPr>
        <w:t xml:space="preserve">) </w:t>
      </w:r>
      <w:r w:rsidR="007100F9">
        <w:rPr>
          <w:rFonts w:ascii="Verdana" w:hAnsi="Verdana"/>
          <w:color w:val="000000"/>
          <w:sz w:val="19"/>
          <w:szCs w:val="19"/>
          <w:lang w:val="fr-CA"/>
        </w:rPr>
        <w:t>élaboré par la Direction de l’acquisition des services professionnels (DASP)</w:t>
      </w:r>
      <w:r>
        <w:rPr>
          <w:rFonts w:ascii="Verdana" w:hAnsi="Verdana"/>
          <w:color w:val="000000"/>
          <w:sz w:val="19"/>
          <w:szCs w:val="19"/>
          <w:lang w:val="fr-CA"/>
        </w:rPr>
        <w:t xml:space="preserve"> a donc été mis en œuvre</w:t>
      </w:r>
      <w:r w:rsidR="007100F9">
        <w:rPr>
          <w:rFonts w:ascii="Verdana" w:hAnsi="Verdana"/>
          <w:color w:val="000000"/>
          <w:sz w:val="19"/>
          <w:szCs w:val="19"/>
          <w:lang w:val="fr-CA"/>
        </w:rPr>
        <w:t xml:space="preserve">. </w:t>
      </w:r>
    </w:p>
    <w:p w:rsidR="00777F22" w:rsidRPr="007100F9" w:rsidRDefault="00777F22" w:rsidP="00777F22">
      <w:pPr>
        <w:autoSpaceDE w:val="0"/>
        <w:autoSpaceDN w:val="0"/>
        <w:adjustRightInd w:val="0"/>
        <w:rPr>
          <w:rFonts w:ascii="Verdana" w:hAnsi="Verdana"/>
          <w:color w:val="000000"/>
          <w:sz w:val="19"/>
          <w:szCs w:val="19"/>
          <w:lang w:val="fr-CA"/>
        </w:rPr>
      </w:pPr>
    </w:p>
    <w:p w:rsidR="00777F22" w:rsidRPr="007100F9" w:rsidRDefault="00702CDB" w:rsidP="00777F22">
      <w:pPr>
        <w:autoSpaceDE w:val="0"/>
        <w:autoSpaceDN w:val="0"/>
        <w:adjustRightInd w:val="0"/>
        <w:rPr>
          <w:rFonts w:ascii="Verdana" w:hAnsi="Verdana"/>
          <w:color w:val="000000"/>
          <w:sz w:val="19"/>
          <w:szCs w:val="19"/>
          <w:lang w:val="fr-CA"/>
        </w:rPr>
      </w:pPr>
      <w:r>
        <w:rPr>
          <w:rFonts w:ascii="Verdana" w:hAnsi="Verdana"/>
          <w:color w:val="000000"/>
          <w:sz w:val="19"/>
          <w:szCs w:val="19"/>
          <w:lang w:val="fr-CA"/>
        </w:rPr>
        <w:t xml:space="preserve">En </w:t>
      </w:r>
      <w:r w:rsidR="00777F22" w:rsidRPr="007100F9">
        <w:rPr>
          <w:rFonts w:ascii="Verdana" w:hAnsi="Verdana"/>
          <w:color w:val="000000"/>
          <w:sz w:val="19"/>
          <w:szCs w:val="19"/>
          <w:lang w:val="fr-CA"/>
        </w:rPr>
        <w:t xml:space="preserve">2009, </w:t>
      </w:r>
      <w:r w:rsidR="001822B9">
        <w:rPr>
          <w:rFonts w:ascii="Verdana" w:hAnsi="Verdana"/>
          <w:color w:val="000000"/>
          <w:sz w:val="19"/>
          <w:szCs w:val="19"/>
          <w:lang w:val="fr-CA"/>
        </w:rPr>
        <w:t xml:space="preserve">le cadre d’évaluation pour les SP en ligne a servi de point de référence pour l’élaboration d’un cadre d’évaluation pour les Services d’aide temporaire (SAT) en ligne. </w:t>
      </w:r>
      <w:r w:rsidR="003576C9">
        <w:rPr>
          <w:rFonts w:ascii="Verdana" w:hAnsi="Verdana"/>
          <w:color w:val="000000"/>
          <w:sz w:val="19"/>
          <w:szCs w:val="19"/>
          <w:lang w:val="fr-CA"/>
        </w:rPr>
        <w:t>Même si</w:t>
      </w:r>
      <w:r w:rsidR="00924BE2">
        <w:rPr>
          <w:rFonts w:ascii="Verdana" w:hAnsi="Verdana"/>
          <w:color w:val="000000"/>
          <w:sz w:val="19"/>
          <w:szCs w:val="19"/>
          <w:lang w:val="fr-CA"/>
        </w:rPr>
        <w:t xml:space="preserve"> </w:t>
      </w:r>
      <w:r w:rsidR="003576C9">
        <w:rPr>
          <w:rFonts w:ascii="Verdana" w:hAnsi="Verdana"/>
          <w:color w:val="000000"/>
          <w:sz w:val="19"/>
          <w:szCs w:val="19"/>
          <w:lang w:val="fr-CA"/>
        </w:rPr>
        <w:t>un cadre de référence pour les SAT</w:t>
      </w:r>
      <w:r w:rsidR="00F13512">
        <w:rPr>
          <w:rFonts w:ascii="Verdana" w:hAnsi="Verdana"/>
          <w:color w:val="000000"/>
          <w:sz w:val="19"/>
          <w:szCs w:val="19"/>
          <w:lang w:val="fr-CA"/>
        </w:rPr>
        <w:t xml:space="preserve"> a été établi</w:t>
      </w:r>
      <w:r w:rsidR="003576C9">
        <w:rPr>
          <w:rFonts w:ascii="Verdana" w:hAnsi="Verdana"/>
          <w:color w:val="000000"/>
          <w:sz w:val="19"/>
          <w:szCs w:val="19"/>
          <w:lang w:val="fr-CA"/>
        </w:rPr>
        <w:t xml:space="preserve">, les évaluations réelles </w:t>
      </w:r>
      <w:r w:rsidR="00BF6BD5">
        <w:rPr>
          <w:rFonts w:ascii="Verdana" w:hAnsi="Verdana"/>
          <w:color w:val="000000"/>
          <w:sz w:val="19"/>
          <w:szCs w:val="19"/>
          <w:lang w:val="fr-CA"/>
        </w:rPr>
        <w:t xml:space="preserve">des utilisateurs ministériels des SAT </w:t>
      </w:r>
      <w:r w:rsidR="00924BE2">
        <w:rPr>
          <w:rFonts w:ascii="Verdana" w:hAnsi="Verdana"/>
          <w:color w:val="000000"/>
          <w:sz w:val="19"/>
          <w:szCs w:val="19"/>
          <w:lang w:val="fr-CA"/>
        </w:rPr>
        <w:t>n’</w:t>
      </w:r>
      <w:r w:rsidR="00BF6BD5">
        <w:rPr>
          <w:rFonts w:ascii="Verdana" w:hAnsi="Verdana"/>
          <w:color w:val="000000"/>
          <w:sz w:val="19"/>
          <w:szCs w:val="19"/>
          <w:lang w:val="fr-CA"/>
        </w:rPr>
        <w:t>ont</w:t>
      </w:r>
      <w:r w:rsidR="00924BE2">
        <w:rPr>
          <w:rFonts w:ascii="Verdana" w:hAnsi="Verdana"/>
          <w:color w:val="000000"/>
          <w:sz w:val="19"/>
          <w:szCs w:val="19"/>
          <w:lang w:val="fr-CA"/>
        </w:rPr>
        <w:t xml:space="preserve"> pas</w:t>
      </w:r>
      <w:r w:rsidR="00BF6BD5">
        <w:rPr>
          <w:rFonts w:ascii="Verdana" w:hAnsi="Verdana"/>
          <w:color w:val="000000"/>
          <w:sz w:val="19"/>
          <w:szCs w:val="19"/>
          <w:lang w:val="fr-CA"/>
        </w:rPr>
        <w:t xml:space="preserve"> été entreprises </w:t>
      </w:r>
      <w:r w:rsidR="00924BE2">
        <w:rPr>
          <w:rFonts w:ascii="Verdana" w:hAnsi="Verdana"/>
          <w:color w:val="000000"/>
          <w:sz w:val="19"/>
          <w:szCs w:val="19"/>
          <w:lang w:val="fr-CA"/>
        </w:rPr>
        <w:t>avant</w:t>
      </w:r>
      <w:r w:rsidR="00777F22" w:rsidRPr="007100F9">
        <w:rPr>
          <w:rFonts w:ascii="Verdana" w:hAnsi="Verdana"/>
          <w:color w:val="000000"/>
          <w:sz w:val="19"/>
          <w:szCs w:val="19"/>
          <w:lang w:val="fr-CA"/>
        </w:rPr>
        <w:t xml:space="preserve"> 2011 (</w:t>
      </w:r>
      <w:r w:rsidR="00BF6BD5">
        <w:rPr>
          <w:rFonts w:ascii="Verdana" w:hAnsi="Verdana"/>
          <w:color w:val="000000"/>
          <w:sz w:val="19"/>
          <w:szCs w:val="19"/>
          <w:lang w:val="fr-CA"/>
        </w:rPr>
        <w:t>voir ci-dessous</w:t>
      </w:r>
      <w:r w:rsidR="00777F22" w:rsidRPr="007100F9">
        <w:rPr>
          <w:rFonts w:ascii="Verdana" w:hAnsi="Verdana"/>
          <w:color w:val="000000"/>
          <w:sz w:val="19"/>
          <w:szCs w:val="19"/>
          <w:lang w:val="fr-CA"/>
        </w:rPr>
        <w:t>).</w:t>
      </w:r>
    </w:p>
    <w:p w:rsidR="00777F22" w:rsidRPr="007100F9" w:rsidRDefault="00777F22" w:rsidP="00777F22">
      <w:pPr>
        <w:autoSpaceDE w:val="0"/>
        <w:autoSpaceDN w:val="0"/>
        <w:adjustRightInd w:val="0"/>
        <w:rPr>
          <w:rFonts w:ascii="Verdana" w:hAnsi="Verdana"/>
          <w:color w:val="000000"/>
          <w:sz w:val="19"/>
          <w:szCs w:val="19"/>
          <w:lang w:val="fr-CA"/>
        </w:rPr>
      </w:pPr>
    </w:p>
    <w:p w:rsidR="00777F22" w:rsidRPr="007100F9" w:rsidRDefault="00BF6BD5" w:rsidP="00777F22">
      <w:pPr>
        <w:autoSpaceDE w:val="0"/>
        <w:autoSpaceDN w:val="0"/>
        <w:adjustRightInd w:val="0"/>
        <w:rPr>
          <w:rFonts w:ascii="Verdana" w:hAnsi="Verdana"/>
          <w:sz w:val="19"/>
          <w:szCs w:val="19"/>
          <w:lang w:val="fr-CA"/>
        </w:rPr>
      </w:pPr>
      <w:r>
        <w:rPr>
          <w:rFonts w:ascii="Verdana" w:hAnsi="Verdana"/>
          <w:color w:val="000000"/>
          <w:sz w:val="19"/>
          <w:szCs w:val="19"/>
          <w:lang w:val="fr-CA"/>
        </w:rPr>
        <w:t>En</w:t>
      </w:r>
      <w:r w:rsidR="00777F22" w:rsidRPr="007100F9">
        <w:rPr>
          <w:rFonts w:ascii="Verdana" w:hAnsi="Verdana"/>
          <w:color w:val="000000"/>
          <w:sz w:val="19"/>
          <w:szCs w:val="19"/>
          <w:lang w:val="fr-CA"/>
        </w:rPr>
        <w:t xml:space="preserve"> 2010, </w:t>
      </w:r>
      <w:r w:rsidR="00ED5D74">
        <w:rPr>
          <w:rFonts w:ascii="Verdana" w:hAnsi="Verdana"/>
          <w:color w:val="000000"/>
          <w:sz w:val="19"/>
          <w:szCs w:val="19"/>
          <w:lang w:val="fr-CA"/>
        </w:rPr>
        <w:t>le Bureau de la vérification et de l’évaluation a établi un mandat pour permettre à TPSGC de s’acquitter de ses responsabilités en matière de surveillance de l’utilisation de ses mécanismes d’approvisionnement, et a mis en œuvre un programme d’examen continu afin de surveiller l’utilisation des contrats attribués par les autres ministères par l’entremise de ces mécanismes.</w:t>
      </w:r>
      <w:r w:rsidR="00777F22" w:rsidRPr="007100F9">
        <w:rPr>
          <w:rFonts w:ascii="Verdana" w:hAnsi="Verdana"/>
          <w:sz w:val="19"/>
          <w:szCs w:val="19"/>
          <w:lang w:val="fr-CA"/>
        </w:rPr>
        <w:t xml:space="preserve"> </w:t>
      </w:r>
    </w:p>
    <w:p w:rsidR="00777F22" w:rsidRPr="007100F9" w:rsidRDefault="00777F22" w:rsidP="00777F22">
      <w:pPr>
        <w:autoSpaceDE w:val="0"/>
        <w:autoSpaceDN w:val="0"/>
        <w:adjustRightInd w:val="0"/>
        <w:rPr>
          <w:rFonts w:ascii="Verdana" w:hAnsi="Verdana"/>
          <w:sz w:val="19"/>
          <w:szCs w:val="19"/>
          <w:lang w:val="fr-CA"/>
        </w:rPr>
      </w:pPr>
    </w:p>
    <w:p w:rsidR="00777F22" w:rsidRPr="007100F9" w:rsidRDefault="0095293D" w:rsidP="00777F22">
      <w:pPr>
        <w:autoSpaceDE w:val="0"/>
        <w:autoSpaceDN w:val="0"/>
        <w:adjustRightInd w:val="0"/>
        <w:rPr>
          <w:rFonts w:ascii="Verdana" w:hAnsi="Verdana"/>
          <w:sz w:val="19"/>
          <w:szCs w:val="19"/>
          <w:lang w:val="fr-CA"/>
        </w:rPr>
      </w:pPr>
      <w:r>
        <w:rPr>
          <w:rFonts w:ascii="Verdana" w:hAnsi="Verdana"/>
          <w:sz w:val="19"/>
          <w:szCs w:val="19"/>
          <w:lang w:val="fr-CA"/>
        </w:rPr>
        <w:t>En</w:t>
      </w:r>
      <w:r w:rsidR="00777F22" w:rsidRPr="007100F9">
        <w:rPr>
          <w:rFonts w:ascii="Verdana" w:hAnsi="Verdana"/>
          <w:sz w:val="19"/>
          <w:szCs w:val="19"/>
          <w:lang w:val="fr-CA"/>
        </w:rPr>
        <w:t xml:space="preserve"> 2011, </w:t>
      </w:r>
      <w:r w:rsidR="008F55E1">
        <w:rPr>
          <w:rFonts w:ascii="Verdana" w:hAnsi="Verdana"/>
          <w:sz w:val="19"/>
          <w:szCs w:val="19"/>
          <w:lang w:val="fr-CA"/>
        </w:rPr>
        <w:t>en réponse au mandat du Bureau de la vérification et de l’évaluation</w:t>
      </w:r>
      <w:r w:rsidR="00777F22" w:rsidRPr="007100F9">
        <w:rPr>
          <w:rFonts w:ascii="Verdana" w:hAnsi="Verdana"/>
          <w:sz w:val="19"/>
          <w:szCs w:val="19"/>
          <w:lang w:val="fr-CA"/>
        </w:rPr>
        <w:t xml:space="preserve">, </w:t>
      </w:r>
      <w:r w:rsidR="00897ADB">
        <w:rPr>
          <w:rFonts w:ascii="Verdana" w:hAnsi="Verdana"/>
          <w:sz w:val="19"/>
          <w:szCs w:val="19"/>
          <w:lang w:val="fr-CA"/>
        </w:rPr>
        <w:t xml:space="preserve">un projet d’évaluation pilote pour les SAT a été achevé en fonction du cadre d’évaluation élaboré </w:t>
      </w:r>
      <w:r w:rsidR="000615A7">
        <w:rPr>
          <w:rFonts w:ascii="Verdana" w:hAnsi="Verdana"/>
          <w:sz w:val="19"/>
          <w:szCs w:val="19"/>
          <w:lang w:val="fr-CA"/>
        </w:rPr>
        <w:t xml:space="preserve">en 2009 </w:t>
      </w:r>
      <w:r w:rsidR="00897ADB">
        <w:rPr>
          <w:rFonts w:ascii="Verdana" w:hAnsi="Verdana"/>
          <w:sz w:val="19"/>
          <w:szCs w:val="19"/>
          <w:lang w:val="fr-CA"/>
        </w:rPr>
        <w:t xml:space="preserve">pour les SAT en ligne. </w:t>
      </w:r>
      <w:r w:rsidR="00E51EF2">
        <w:rPr>
          <w:rFonts w:ascii="Verdana" w:hAnsi="Verdana"/>
          <w:sz w:val="19"/>
          <w:szCs w:val="19"/>
          <w:lang w:val="fr-CA"/>
        </w:rPr>
        <w:t xml:space="preserve">Le Secteur de l’engagement des clients (SEC) et le Secteur de la gestion de l’approvisionnement en services et en technologies (SGAST) ont participé à ce projet. </w:t>
      </w:r>
      <w:r w:rsidR="00777F22" w:rsidRPr="007100F9">
        <w:rPr>
          <w:rFonts w:ascii="Verdana" w:hAnsi="Verdana" w:cs="Arial"/>
          <w:sz w:val="19"/>
          <w:szCs w:val="19"/>
          <w:lang w:val="fr-CA"/>
        </w:rPr>
        <w:t xml:space="preserve">  </w:t>
      </w:r>
    </w:p>
    <w:p w:rsidR="00777F22" w:rsidRPr="007100F9" w:rsidRDefault="00777F22" w:rsidP="00777F22">
      <w:pPr>
        <w:autoSpaceDE w:val="0"/>
        <w:autoSpaceDN w:val="0"/>
        <w:adjustRightInd w:val="0"/>
        <w:rPr>
          <w:rFonts w:ascii="Verdana" w:hAnsi="Verdana"/>
          <w:sz w:val="19"/>
          <w:szCs w:val="19"/>
          <w:lang w:val="fr-CA"/>
        </w:rPr>
      </w:pPr>
    </w:p>
    <w:p w:rsidR="00777F22" w:rsidRPr="007100F9" w:rsidRDefault="00E41466" w:rsidP="00777F22">
      <w:pPr>
        <w:autoSpaceDE w:val="0"/>
        <w:autoSpaceDN w:val="0"/>
        <w:adjustRightInd w:val="0"/>
        <w:rPr>
          <w:rFonts w:ascii="Verdana" w:hAnsi="Verdana" w:cs="Arial"/>
          <w:sz w:val="19"/>
          <w:szCs w:val="19"/>
          <w:lang w:val="fr-CA"/>
        </w:rPr>
      </w:pPr>
      <w:r>
        <w:rPr>
          <w:rFonts w:ascii="Verdana" w:hAnsi="Verdana"/>
          <w:sz w:val="19"/>
          <w:szCs w:val="19"/>
          <w:lang w:val="fr-CA"/>
        </w:rPr>
        <w:t xml:space="preserve">Toujours en </w:t>
      </w:r>
      <w:r w:rsidR="00777F22" w:rsidRPr="007100F9">
        <w:rPr>
          <w:rFonts w:ascii="Verdana" w:hAnsi="Verdana"/>
          <w:sz w:val="19"/>
          <w:szCs w:val="19"/>
          <w:lang w:val="fr-CA"/>
        </w:rPr>
        <w:t xml:space="preserve">2011, </w:t>
      </w:r>
      <w:r>
        <w:rPr>
          <w:rFonts w:ascii="Verdana" w:hAnsi="Verdana"/>
          <w:sz w:val="19"/>
          <w:szCs w:val="19"/>
          <w:lang w:val="fr-CA"/>
        </w:rPr>
        <w:t xml:space="preserve">le Bureau de l’ombudsman de l’approvisionnement (BOA) a effectué un examen de l’outil d’approvisionnement automatisé des SP en ligne, y compris du processus d’évaluation utilisé pour surveiller et contrôler l’utilisation de cet outil d’approvisionnement </w:t>
      </w:r>
      <w:r w:rsidR="000615A7">
        <w:rPr>
          <w:rFonts w:ascii="Verdana" w:hAnsi="Verdana"/>
          <w:sz w:val="19"/>
          <w:szCs w:val="19"/>
          <w:lang w:val="fr-CA"/>
        </w:rPr>
        <w:t xml:space="preserve">            </w:t>
      </w:r>
      <w:r>
        <w:rPr>
          <w:rFonts w:ascii="Verdana" w:hAnsi="Verdana"/>
          <w:sz w:val="19"/>
          <w:szCs w:val="19"/>
          <w:lang w:val="fr-CA"/>
        </w:rPr>
        <w:t xml:space="preserve">libre-service. Un </w:t>
      </w:r>
      <w:r w:rsidR="008C7668">
        <w:rPr>
          <w:rFonts w:ascii="Verdana" w:hAnsi="Verdana"/>
          <w:sz w:val="19"/>
          <w:szCs w:val="19"/>
          <w:lang w:val="fr-CA"/>
        </w:rPr>
        <w:t xml:space="preserve">report, </w:t>
      </w:r>
      <w:hyperlink r:id="rId7" w:history="1">
        <w:r w:rsidR="008C7668">
          <w:rPr>
            <w:rFonts w:ascii="Verdana" w:hAnsi="Verdana" w:cs="Verdana"/>
            <w:color w:val="008000"/>
            <w:sz w:val="19"/>
            <w:szCs w:val="19"/>
            <w:u w:val="single"/>
            <w:lang w:val="fr-FR" w:eastAsia="fr-CA"/>
          </w:rPr>
          <w:t>Examens des pratiques d'approvisionnement - Services professionnels en ligne</w:t>
        </w:r>
      </w:hyperlink>
      <w:r>
        <w:rPr>
          <w:rFonts w:ascii="Verdana" w:hAnsi="Verdana"/>
          <w:sz w:val="19"/>
          <w:szCs w:val="19"/>
          <w:lang w:val="fr-CA"/>
        </w:rPr>
        <w:t>, réaffirmant la nécessité et les avantages d’un proce</w:t>
      </w:r>
      <w:r w:rsidR="00B07FD5">
        <w:rPr>
          <w:rFonts w:ascii="Verdana" w:hAnsi="Verdana"/>
          <w:sz w:val="19"/>
          <w:szCs w:val="19"/>
          <w:lang w:val="fr-CA"/>
        </w:rPr>
        <w:t>ssus d’évaluation, a été publié.</w:t>
      </w:r>
      <w:r w:rsidR="00777F22" w:rsidRPr="007100F9">
        <w:rPr>
          <w:rFonts w:ascii="Verdana" w:hAnsi="Verdana" w:cs="Arial"/>
          <w:sz w:val="19"/>
          <w:szCs w:val="19"/>
          <w:lang w:val="fr-CA"/>
        </w:rPr>
        <w:t xml:space="preserve"> </w:t>
      </w:r>
      <w:r w:rsidR="00CD7EDF">
        <w:rPr>
          <w:rFonts w:ascii="Verdana" w:hAnsi="Verdana" w:cs="Arial"/>
          <w:sz w:val="19"/>
          <w:szCs w:val="19"/>
          <w:lang w:val="fr-CA"/>
        </w:rPr>
        <w:t xml:space="preserve">Des changements au processus ont également été recommandés et un plan d’action de la gestion a été établi, reliant les activités du projet pilote et les responsabilités partagées entre le SEC et le SGAST. </w:t>
      </w:r>
    </w:p>
    <w:p w:rsidR="00777F22" w:rsidRPr="007100F9" w:rsidRDefault="00777F22" w:rsidP="00777F22">
      <w:pPr>
        <w:autoSpaceDE w:val="0"/>
        <w:autoSpaceDN w:val="0"/>
        <w:adjustRightInd w:val="0"/>
        <w:rPr>
          <w:rFonts w:ascii="Verdana" w:hAnsi="Verdana" w:cs="Arial"/>
          <w:sz w:val="19"/>
          <w:szCs w:val="19"/>
          <w:lang w:val="fr-CA"/>
        </w:rPr>
      </w:pPr>
    </w:p>
    <w:p w:rsidR="00777F22" w:rsidRPr="007100F9" w:rsidRDefault="00CD7EDF" w:rsidP="00777F22">
      <w:pPr>
        <w:autoSpaceDE w:val="0"/>
        <w:autoSpaceDN w:val="0"/>
        <w:adjustRightInd w:val="0"/>
        <w:rPr>
          <w:rFonts w:ascii="Verdana" w:hAnsi="Verdana" w:cs="Arial"/>
          <w:sz w:val="19"/>
          <w:szCs w:val="19"/>
          <w:lang w:val="fr-CA"/>
        </w:rPr>
      </w:pPr>
      <w:r>
        <w:rPr>
          <w:rFonts w:ascii="Verdana" w:hAnsi="Verdana" w:cs="Arial"/>
          <w:sz w:val="19"/>
          <w:szCs w:val="19"/>
          <w:lang w:val="fr-CA"/>
        </w:rPr>
        <w:t>En avril</w:t>
      </w:r>
      <w:r w:rsidR="00777F22" w:rsidRPr="007100F9">
        <w:rPr>
          <w:rFonts w:ascii="Verdana" w:hAnsi="Verdana" w:cs="Arial"/>
          <w:sz w:val="19"/>
          <w:szCs w:val="19"/>
          <w:lang w:val="fr-CA"/>
        </w:rPr>
        <w:t xml:space="preserve"> 2012, </w:t>
      </w:r>
      <w:r w:rsidR="00553099">
        <w:rPr>
          <w:rFonts w:ascii="Verdana" w:hAnsi="Verdana" w:cs="Arial"/>
          <w:sz w:val="19"/>
          <w:szCs w:val="19"/>
          <w:lang w:val="fr-CA"/>
        </w:rPr>
        <w:t xml:space="preserve">des </w:t>
      </w:r>
      <w:r w:rsidR="00777F22" w:rsidRPr="007100F9">
        <w:rPr>
          <w:rFonts w:ascii="Verdana" w:hAnsi="Verdana" w:cs="Arial"/>
          <w:sz w:val="19"/>
          <w:szCs w:val="19"/>
          <w:lang w:val="fr-CA"/>
        </w:rPr>
        <w:t>r</w:t>
      </w:r>
      <w:r w:rsidR="00553099">
        <w:rPr>
          <w:rFonts w:ascii="Verdana" w:hAnsi="Verdana" w:cs="Arial"/>
          <w:sz w:val="19"/>
          <w:szCs w:val="19"/>
          <w:lang w:val="fr-CA"/>
        </w:rPr>
        <w:t>é</w:t>
      </w:r>
      <w:r w:rsidR="00777F22" w:rsidRPr="007100F9">
        <w:rPr>
          <w:rFonts w:ascii="Verdana" w:hAnsi="Verdana" w:cs="Arial"/>
          <w:sz w:val="19"/>
          <w:szCs w:val="19"/>
          <w:lang w:val="fr-CA"/>
        </w:rPr>
        <w:t>visions</w:t>
      </w:r>
      <w:r w:rsidR="00553099">
        <w:rPr>
          <w:rFonts w:ascii="Verdana" w:hAnsi="Verdana" w:cs="Arial"/>
          <w:sz w:val="19"/>
          <w:szCs w:val="19"/>
          <w:lang w:val="fr-CA"/>
        </w:rPr>
        <w:t xml:space="preserve"> ont été apportées au cadre d’évaluation pour les SP en ligne afin de répondre au BOA, et des évaluations ont été </w:t>
      </w:r>
      <w:r w:rsidR="00282729">
        <w:rPr>
          <w:rFonts w:ascii="Verdana" w:hAnsi="Verdana" w:cs="Arial"/>
          <w:sz w:val="19"/>
          <w:szCs w:val="19"/>
          <w:lang w:val="fr-CA"/>
        </w:rPr>
        <w:t xml:space="preserve">menées à bien. </w:t>
      </w:r>
    </w:p>
    <w:p w:rsidR="00777F22" w:rsidRPr="007100F9" w:rsidRDefault="00777F22" w:rsidP="00777F22">
      <w:pPr>
        <w:autoSpaceDE w:val="0"/>
        <w:autoSpaceDN w:val="0"/>
        <w:adjustRightInd w:val="0"/>
        <w:rPr>
          <w:rFonts w:ascii="Verdana" w:hAnsi="Verdana" w:cs="Arial"/>
          <w:sz w:val="19"/>
          <w:szCs w:val="19"/>
          <w:lang w:val="fr-CA"/>
        </w:rPr>
      </w:pPr>
    </w:p>
    <w:p w:rsidR="00777F22" w:rsidRPr="007100F9" w:rsidRDefault="008E037A" w:rsidP="00777F22">
      <w:pPr>
        <w:autoSpaceDE w:val="0"/>
        <w:autoSpaceDN w:val="0"/>
        <w:adjustRightInd w:val="0"/>
        <w:rPr>
          <w:rFonts w:ascii="Verdana" w:hAnsi="Verdana" w:cs="Arial"/>
          <w:sz w:val="19"/>
          <w:szCs w:val="19"/>
          <w:lang w:val="fr-CA"/>
        </w:rPr>
      </w:pPr>
      <w:r>
        <w:rPr>
          <w:rFonts w:ascii="Verdana" w:hAnsi="Verdana" w:cs="Arial"/>
          <w:sz w:val="19"/>
          <w:szCs w:val="19"/>
          <w:lang w:val="fr-CA"/>
        </w:rPr>
        <w:t xml:space="preserve">Aujourd’hui (février </w:t>
      </w:r>
      <w:r w:rsidR="00777F22" w:rsidRPr="007100F9">
        <w:rPr>
          <w:rFonts w:ascii="Verdana" w:hAnsi="Verdana" w:cs="Arial"/>
          <w:sz w:val="19"/>
          <w:szCs w:val="19"/>
          <w:lang w:val="fr-CA"/>
        </w:rPr>
        <w:t>2013</w:t>
      </w:r>
      <w:r>
        <w:rPr>
          <w:rFonts w:ascii="Verdana" w:hAnsi="Verdana" w:cs="Arial"/>
          <w:sz w:val="19"/>
          <w:szCs w:val="19"/>
          <w:lang w:val="fr-CA"/>
        </w:rPr>
        <w:t>)</w:t>
      </w:r>
      <w:r w:rsidR="00777F22" w:rsidRPr="007100F9">
        <w:rPr>
          <w:rFonts w:ascii="Verdana" w:hAnsi="Verdana" w:cs="Arial"/>
          <w:sz w:val="19"/>
          <w:szCs w:val="19"/>
          <w:lang w:val="fr-CA"/>
        </w:rPr>
        <w:t xml:space="preserve">, </w:t>
      </w:r>
      <w:r w:rsidR="00B35075">
        <w:rPr>
          <w:rFonts w:ascii="Verdana" w:hAnsi="Verdana" w:cs="Arial"/>
          <w:sz w:val="19"/>
          <w:szCs w:val="19"/>
          <w:lang w:val="fr-CA"/>
        </w:rPr>
        <w:t xml:space="preserve">on propose d’entamer les évaluations des SAT. L’approche proposée consistera à modifier le cadre d’évaluation des SAT afin de tirer parti de l’expérience acquise lors de la </w:t>
      </w:r>
      <w:r w:rsidR="009E7A2F">
        <w:rPr>
          <w:rFonts w:ascii="Verdana" w:hAnsi="Verdana" w:cs="Arial"/>
          <w:sz w:val="19"/>
          <w:szCs w:val="19"/>
          <w:lang w:val="fr-CA"/>
        </w:rPr>
        <w:t>réalisation</w:t>
      </w:r>
      <w:r w:rsidR="00B35075">
        <w:rPr>
          <w:rFonts w:ascii="Verdana" w:hAnsi="Verdana" w:cs="Arial"/>
          <w:sz w:val="19"/>
          <w:szCs w:val="19"/>
          <w:lang w:val="fr-CA"/>
        </w:rPr>
        <w:t xml:space="preserve"> des évaluations des SP en ligne et de tenir compte des recommandations </w:t>
      </w:r>
      <w:r w:rsidR="007A618D">
        <w:rPr>
          <w:rFonts w:ascii="Verdana" w:hAnsi="Verdana" w:cs="Arial"/>
          <w:sz w:val="19"/>
          <w:szCs w:val="19"/>
          <w:lang w:val="fr-CA"/>
        </w:rPr>
        <w:t>du</w:t>
      </w:r>
      <w:r w:rsidR="00B35075">
        <w:rPr>
          <w:rFonts w:ascii="Verdana" w:hAnsi="Verdana" w:cs="Arial"/>
          <w:sz w:val="19"/>
          <w:szCs w:val="19"/>
          <w:lang w:val="fr-CA"/>
        </w:rPr>
        <w:t xml:space="preserve"> BOA. De plus, dans le cadre de la Stratégie d’approvisionnement en matière de services professionnels</w:t>
      </w:r>
      <w:r w:rsidR="00777F22" w:rsidRPr="007100F9">
        <w:rPr>
          <w:rFonts w:ascii="Verdana" w:hAnsi="Verdana" w:cs="Arial"/>
          <w:sz w:val="19"/>
          <w:szCs w:val="19"/>
          <w:lang w:val="fr-CA"/>
        </w:rPr>
        <w:t>,</w:t>
      </w:r>
      <w:r w:rsidR="00B35075">
        <w:rPr>
          <w:rFonts w:ascii="Verdana" w:hAnsi="Verdana" w:cs="Arial"/>
          <w:sz w:val="19"/>
          <w:szCs w:val="19"/>
          <w:lang w:val="fr-CA"/>
        </w:rPr>
        <w:t xml:space="preserve"> une approche normalisée</w:t>
      </w:r>
      <w:r w:rsidR="009E7A2F">
        <w:rPr>
          <w:rFonts w:ascii="Verdana" w:hAnsi="Verdana" w:cs="Arial"/>
          <w:sz w:val="19"/>
          <w:szCs w:val="19"/>
          <w:lang w:val="fr-CA"/>
        </w:rPr>
        <w:t xml:space="preserve"> sera</w:t>
      </w:r>
      <w:r w:rsidR="00B35075">
        <w:rPr>
          <w:rFonts w:ascii="Verdana" w:hAnsi="Verdana" w:cs="Arial"/>
          <w:sz w:val="19"/>
          <w:szCs w:val="19"/>
          <w:lang w:val="fr-CA"/>
        </w:rPr>
        <w:t xml:space="preserve"> mise en œuvre</w:t>
      </w:r>
      <w:r w:rsidR="009E7A2F">
        <w:rPr>
          <w:rFonts w:ascii="Verdana" w:hAnsi="Verdana" w:cs="Arial"/>
          <w:sz w:val="19"/>
          <w:szCs w:val="19"/>
          <w:lang w:val="fr-CA"/>
        </w:rPr>
        <w:t xml:space="preserve"> pour l’évaluation des services professionnels</w:t>
      </w:r>
      <w:r w:rsidR="00777F22" w:rsidRPr="007100F9">
        <w:rPr>
          <w:rFonts w:ascii="Verdana" w:hAnsi="Verdana" w:cs="Arial"/>
          <w:sz w:val="19"/>
          <w:szCs w:val="19"/>
          <w:lang w:val="fr-CA"/>
        </w:rPr>
        <w:t>.</w:t>
      </w:r>
    </w:p>
    <w:p w:rsidR="00C01CCA" w:rsidRPr="00C11D27" w:rsidRDefault="00C01CCA" w:rsidP="00E5614E">
      <w:pPr>
        <w:shd w:val="clear" w:color="auto" w:fill="FFFFFF"/>
        <w:rPr>
          <w:rFonts w:ascii="Verdana" w:hAnsi="Verdana"/>
          <w:color w:val="000000"/>
          <w:sz w:val="19"/>
          <w:szCs w:val="19"/>
          <w:lang w:val="fr-CA"/>
        </w:rPr>
      </w:pPr>
    </w:p>
    <w:p w:rsidR="00C85B4B" w:rsidRDefault="00C85B4B" w:rsidP="00E5614E">
      <w:pPr>
        <w:pStyle w:val="Heading2"/>
        <w:rPr>
          <w:sz w:val="27"/>
          <w:szCs w:val="27"/>
          <w:lang w:val="fr-CA"/>
        </w:rPr>
      </w:pPr>
    </w:p>
    <w:p w:rsidR="009A64B2" w:rsidRPr="00C11D27" w:rsidRDefault="009A64B2" w:rsidP="00E5614E">
      <w:pPr>
        <w:pStyle w:val="Heading2"/>
        <w:rPr>
          <w:sz w:val="27"/>
          <w:szCs w:val="27"/>
          <w:lang w:val="fr-CA"/>
        </w:rPr>
      </w:pPr>
      <w:r w:rsidRPr="00C11D27">
        <w:rPr>
          <w:sz w:val="27"/>
          <w:szCs w:val="27"/>
          <w:lang w:val="fr-CA"/>
        </w:rPr>
        <w:lastRenderedPageBreak/>
        <w:t>Obje</w:t>
      </w:r>
      <w:r w:rsidR="0002436A" w:rsidRPr="00C11D27">
        <w:rPr>
          <w:sz w:val="27"/>
          <w:szCs w:val="27"/>
          <w:lang w:val="fr-CA"/>
        </w:rPr>
        <w:t>ctif</w:t>
      </w:r>
    </w:p>
    <w:p w:rsidR="0002436A" w:rsidRPr="00C11D27" w:rsidRDefault="00E41D49" w:rsidP="00E5614E">
      <w:pPr>
        <w:pStyle w:val="NormalWeb"/>
        <w:shd w:val="clear" w:color="auto" w:fill="FFFFFF"/>
        <w:rPr>
          <w:color w:val="000000"/>
          <w:sz w:val="19"/>
          <w:szCs w:val="19"/>
          <w:lang w:val="fr-CA"/>
        </w:rPr>
      </w:pPr>
      <w:r>
        <w:rPr>
          <w:color w:val="000000"/>
          <w:sz w:val="19"/>
          <w:szCs w:val="19"/>
          <w:lang w:val="fr-CA"/>
        </w:rPr>
        <w:t>L’évaluation des SAT en ligne vise à surveiller et à contrôler l’utilisation de cet outil d’approvisionnement libre-service.</w:t>
      </w:r>
    </w:p>
    <w:p w:rsidR="00C01CCA" w:rsidRPr="00C11D27" w:rsidRDefault="0002436A" w:rsidP="00E5614E">
      <w:pPr>
        <w:pStyle w:val="Heading2"/>
        <w:rPr>
          <w:sz w:val="27"/>
          <w:szCs w:val="27"/>
          <w:lang w:val="fr-CA"/>
        </w:rPr>
      </w:pPr>
      <w:r w:rsidRPr="00C11D27">
        <w:rPr>
          <w:sz w:val="27"/>
          <w:szCs w:val="27"/>
          <w:lang w:val="fr-CA"/>
        </w:rPr>
        <w:t>Exigences en matière d’é</w:t>
      </w:r>
      <w:r w:rsidR="008C1C63" w:rsidRPr="00C11D27">
        <w:rPr>
          <w:sz w:val="27"/>
          <w:szCs w:val="27"/>
          <w:lang w:val="fr-CA"/>
        </w:rPr>
        <w:t xml:space="preserve">valuation </w:t>
      </w:r>
    </w:p>
    <w:p w:rsidR="00C01CCA" w:rsidRDefault="008C1C63" w:rsidP="00E5614E">
      <w:pPr>
        <w:pStyle w:val="NormalWeb"/>
        <w:shd w:val="clear" w:color="auto" w:fill="FFFFFF"/>
        <w:rPr>
          <w:color w:val="000000"/>
          <w:sz w:val="19"/>
          <w:szCs w:val="19"/>
          <w:lang w:val="fr-CA"/>
        </w:rPr>
      </w:pPr>
      <w:r w:rsidRPr="00C11D27">
        <w:rPr>
          <w:color w:val="000000"/>
          <w:sz w:val="19"/>
          <w:szCs w:val="19"/>
          <w:lang w:val="fr-CA"/>
        </w:rPr>
        <w:t>Les évaluations</w:t>
      </w:r>
      <w:r w:rsidR="0002436A" w:rsidRPr="00C11D27">
        <w:rPr>
          <w:color w:val="000000"/>
          <w:sz w:val="19"/>
          <w:szCs w:val="19"/>
          <w:lang w:val="fr-CA"/>
        </w:rPr>
        <w:t xml:space="preserve"> seront fondées sur les exigences définies dans </w:t>
      </w:r>
      <w:r w:rsidRPr="00C11D27">
        <w:rPr>
          <w:color w:val="000000"/>
          <w:sz w:val="19"/>
          <w:szCs w:val="19"/>
          <w:lang w:val="fr-CA"/>
        </w:rPr>
        <w:t>le</w:t>
      </w:r>
      <w:r w:rsidR="00FA599B">
        <w:rPr>
          <w:color w:val="000000"/>
          <w:sz w:val="19"/>
          <w:szCs w:val="19"/>
          <w:lang w:val="fr-CA"/>
        </w:rPr>
        <w:t>s règles opérationnelles qui s’appliquent à la méthode d’approvisionnement axée sur les SAT. Un document d’orientation à l’intention des évaluateurs fournit des détails précis sur chaque exigence</w:t>
      </w:r>
      <w:r w:rsidR="00E538B8">
        <w:rPr>
          <w:color w:val="000000"/>
          <w:sz w:val="19"/>
          <w:szCs w:val="19"/>
          <w:lang w:val="fr-CA"/>
        </w:rPr>
        <w:t xml:space="preserve"> ainsi qu’</w:t>
      </w:r>
      <w:r w:rsidR="00FA599B">
        <w:rPr>
          <w:color w:val="000000"/>
          <w:sz w:val="19"/>
          <w:szCs w:val="19"/>
          <w:lang w:val="fr-CA"/>
        </w:rPr>
        <w:t>une description de chaque type de constatation et de la façon dont les constatations</w:t>
      </w:r>
      <w:r w:rsidR="00E538B8">
        <w:rPr>
          <w:color w:val="000000"/>
          <w:sz w:val="19"/>
          <w:szCs w:val="19"/>
          <w:lang w:val="fr-CA"/>
        </w:rPr>
        <w:t xml:space="preserve"> potentielles</w:t>
      </w:r>
      <w:r w:rsidR="00FA599B">
        <w:rPr>
          <w:color w:val="000000"/>
          <w:sz w:val="19"/>
          <w:szCs w:val="19"/>
          <w:lang w:val="fr-CA"/>
        </w:rPr>
        <w:t xml:space="preserve"> ont été établies. Ce document peut être modifié de temps à autre.</w:t>
      </w:r>
    </w:p>
    <w:p w:rsidR="00FA599B" w:rsidRPr="00C11D27" w:rsidRDefault="00FA599B" w:rsidP="00E5614E">
      <w:pPr>
        <w:pStyle w:val="NormalWeb"/>
        <w:shd w:val="clear" w:color="auto" w:fill="FFFFFF"/>
        <w:rPr>
          <w:color w:val="000000"/>
          <w:sz w:val="19"/>
          <w:szCs w:val="19"/>
          <w:lang w:val="fr-CA"/>
        </w:rPr>
      </w:pPr>
      <w:r>
        <w:rPr>
          <w:color w:val="000000"/>
          <w:sz w:val="19"/>
          <w:szCs w:val="19"/>
          <w:lang w:val="fr-CA"/>
        </w:rPr>
        <w:t>On informera les utilisateurs désignés lorsqu’une évaluation devra être réalisée, et ces derniers seront tenus de :</w:t>
      </w:r>
    </w:p>
    <w:p w:rsidR="00C01CCA" w:rsidRPr="00C11D27" w:rsidRDefault="00230D7A" w:rsidP="00E5614E">
      <w:pPr>
        <w:numPr>
          <w:ilvl w:val="0"/>
          <w:numId w:val="2"/>
        </w:numPr>
        <w:shd w:val="clear" w:color="auto" w:fill="FFFFFF"/>
        <w:spacing w:before="100" w:beforeAutospacing="1" w:after="100" w:afterAutospacing="1"/>
        <w:rPr>
          <w:rFonts w:ascii="Verdana" w:hAnsi="Verdana"/>
          <w:color w:val="000000"/>
          <w:sz w:val="19"/>
          <w:szCs w:val="19"/>
          <w:lang w:val="fr-CA"/>
        </w:rPr>
      </w:pPr>
      <w:r w:rsidRPr="00C11D27">
        <w:rPr>
          <w:rFonts w:ascii="Verdana" w:hAnsi="Verdana"/>
          <w:color w:val="000000"/>
          <w:sz w:val="19"/>
          <w:szCs w:val="19"/>
          <w:lang w:val="fr-CA"/>
        </w:rPr>
        <w:t>fo</w:t>
      </w:r>
      <w:r w:rsidR="00A86201" w:rsidRPr="00C11D27">
        <w:rPr>
          <w:rFonts w:ascii="Verdana" w:hAnsi="Verdana"/>
          <w:color w:val="000000"/>
          <w:sz w:val="19"/>
          <w:szCs w:val="19"/>
          <w:lang w:val="fr-CA"/>
        </w:rPr>
        <w:t>u</w:t>
      </w:r>
      <w:r w:rsidRPr="00C11D27">
        <w:rPr>
          <w:rFonts w:ascii="Verdana" w:hAnsi="Verdana"/>
          <w:color w:val="000000"/>
          <w:sz w:val="19"/>
          <w:szCs w:val="19"/>
          <w:lang w:val="fr-CA"/>
        </w:rPr>
        <w:t>r</w:t>
      </w:r>
      <w:r w:rsidR="00A86201" w:rsidRPr="00C11D27">
        <w:rPr>
          <w:rFonts w:ascii="Verdana" w:hAnsi="Verdana"/>
          <w:color w:val="000000"/>
          <w:sz w:val="19"/>
          <w:szCs w:val="19"/>
          <w:lang w:val="fr-CA"/>
        </w:rPr>
        <w:t xml:space="preserve">nir </w:t>
      </w:r>
      <w:r w:rsidR="0002436A" w:rsidRPr="00C11D27">
        <w:rPr>
          <w:rFonts w:ascii="Verdana" w:hAnsi="Verdana"/>
          <w:color w:val="000000"/>
          <w:sz w:val="19"/>
          <w:szCs w:val="19"/>
          <w:lang w:val="fr-CA"/>
        </w:rPr>
        <w:t xml:space="preserve">les </w:t>
      </w:r>
      <w:r w:rsidR="00A86201" w:rsidRPr="00C11D27">
        <w:rPr>
          <w:rFonts w:ascii="Verdana" w:hAnsi="Verdana"/>
          <w:color w:val="000000"/>
          <w:sz w:val="19"/>
          <w:szCs w:val="19"/>
          <w:lang w:val="fr-CA"/>
        </w:rPr>
        <w:t>renseignement</w:t>
      </w:r>
      <w:r w:rsidRPr="00C11D27">
        <w:rPr>
          <w:rFonts w:ascii="Verdana" w:hAnsi="Verdana"/>
          <w:color w:val="000000"/>
          <w:sz w:val="19"/>
          <w:szCs w:val="19"/>
          <w:lang w:val="fr-CA"/>
        </w:rPr>
        <w:t>s nécessaires sur les activités</w:t>
      </w:r>
      <w:r w:rsidR="00390C24">
        <w:rPr>
          <w:rFonts w:ascii="Verdana" w:hAnsi="Verdana"/>
          <w:color w:val="000000"/>
          <w:sz w:val="19"/>
          <w:szCs w:val="19"/>
          <w:lang w:val="fr-CA"/>
        </w:rPr>
        <w:t xml:space="preserve"> liées aux </w:t>
      </w:r>
      <w:r w:rsidRPr="00C11D27">
        <w:rPr>
          <w:rFonts w:ascii="Verdana" w:hAnsi="Verdana"/>
          <w:color w:val="000000"/>
          <w:sz w:val="19"/>
          <w:szCs w:val="19"/>
          <w:lang w:val="fr-CA"/>
        </w:rPr>
        <w:t>contrats</w:t>
      </w:r>
      <w:r w:rsidR="00664CC5">
        <w:rPr>
          <w:rFonts w:ascii="Verdana" w:hAnsi="Verdana"/>
          <w:color w:val="000000"/>
          <w:sz w:val="19"/>
          <w:szCs w:val="19"/>
          <w:lang w:val="fr-CA"/>
        </w:rPr>
        <w:t>/commandes subséquentes</w:t>
      </w:r>
      <w:r w:rsidRPr="00C11D27">
        <w:rPr>
          <w:rFonts w:ascii="Verdana" w:hAnsi="Verdana"/>
          <w:color w:val="000000"/>
          <w:sz w:val="19"/>
          <w:szCs w:val="19"/>
          <w:lang w:val="fr-CA"/>
        </w:rPr>
        <w:t xml:space="preserve"> pour que TPSGC puisse déterminer les contrats</w:t>
      </w:r>
      <w:r w:rsidR="00664CC5">
        <w:rPr>
          <w:rFonts w:ascii="Verdana" w:hAnsi="Verdana"/>
          <w:color w:val="000000"/>
          <w:sz w:val="19"/>
          <w:szCs w:val="19"/>
          <w:lang w:val="fr-CA"/>
        </w:rPr>
        <w:t>/commandes subséquentes</w:t>
      </w:r>
      <w:r w:rsidRPr="00C11D27">
        <w:rPr>
          <w:rFonts w:ascii="Verdana" w:hAnsi="Verdana"/>
          <w:color w:val="000000"/>
          <w:sz w:val="19"/>
          <w:szCs w:val="19"/>
          <w:lang w:val="fr-CA"/>
        </w:rPr>
        <w:t xml:space="preserve"> qui seront évalués;  </w:t>
      </w:r>
      <w:r w:rsidR="008A0B99" w:rsidRPr="00C11D27">
        <w:rPr>
          <w:rFonts w:ascii="Verdana" w:hAnsi="Verdana"/>
          <w:color w:val="000000"/>
          <w:sz w:val="19"/>
          <w:szCs w:val="19"/>
          <w:lang w:val="fr-CA"/>
        </w:rPr>
        <w:t xml:space="preserve"> </w:t>
      </w:r>
    </w:p>
    <w:p w:rsidR="00C01CCA" w:rsidRPr="00C11D27" w:rsidRDefault="00230D7A" w:rsidP="00E5614E">
      <w:pPr>
        <w:numPr>
          <w:ilvl w:val="0"/>
          <w:numId w:val="2"/>
        </w:numPr>
        <w:shd w:val="clear" w:color="auto" w:fill="FFFFFF"/>
        <w:spacing w:before="100" w:beforeAutospacing="1" w:after="100" w:afterAutospacing="1"/>
        <w:rPr>
          <w:rFonts w:ascii="Verdana" w:hAnsi="Verdana"/>
          <w:color w:val="000000"/>
          <w:sz w:val="19"/>
          <w:szCs w:val="19"/>
          <w:lang w:val="fr-CA"/>
        </w:rPr>
      </w:pPr>
      <w:r w:rsidRPr="00C11D27">
        <w:rPr>
          <w:rFonts w:ascii="Verdana" w:hAnsi="Verdana"/>
          <w:color w:val="000000"/>
          <w:sz w:val="19"/>
          <w:szCs w:val="19"/>
          <w:lang w:val="fr-CA"/>
        </w:rPr>
        <w:t xml:space="preserve">fournir une copie des renseignements requis pour </w:t>
      </w:r>
      <w:r w:rsidR="0063486F" w:rsidRPr="00C11D27">
        <w:rPr>
          <w:rFonts w:ascii="Verdana" w:hAnsi="Verdana"/>
          <w:color w:val="000000"/>
          <w:sz w:val="19"/>
          <w:szCs w:val="19"/>
          <w:lang w:val="fr-CA"/>
        </w:rPr>
        <w:t xml:space="preserve">procéder à </w:t>
      </w:r>
      <w:r w:rsidRPr="00C11D27">
        <w:rPr>
          <w:rFonts w:ascii="Verdana" w:hAnsi="Verdana"/>
          <w:color w:val="000000"/>
          <w:sz w:val="19"/>
          <w:szCs w:val="19"/>
          <w:lang w:val="fr-CA"/>
        </w:rPr>
        <w:t>l’évaluation.</w:t>
      </w:r>
    </w:p>
    <w:p w:rsidR="00ED3454" w:rsidRDefault="00ED3454" w:rsidP="00E5614E">
      <w:pPr>
        <w:pStyle w:val="Heading2"/>
        <w:rPr>
          <w:sz w:val="27"/>
          <w:szCs w:val="27"/>
          <w:lang w:val="fr-CA"/>
        </w:rPr>
      </w:pPr>
      <w:r>
        <w:rPr>
          <w:sz w:val="27"/>
          <w:szCs w:val="27"/>
          <w:lang w:val="fr-CA"/>
        </w:rPr>
        <w:t>Processus de sélection des contrats/commandes subséquentes</w:t>
      </w:r>
    </w:p>
    <w:p w:rsidR="00ED3454" w:rsidRPr="009F7223" w:rsidRDefault="00565AB9" w:rsidP="00ED3454">
      <w:pPr>
        <w:rPr>
          <w:rFonts w:ascii="Verdana" w:hAnsi="Verdana"/>
          <w:sz w:val="19"/>
          <w:szCs w:val="18"/>
          <w:lang w:val="fr-CA"/>
        </w:rPr>
      </w:pPr>
      <w:r>
        <w:rPr>
          <w:rFonts w:ascii="Verdana" w:hAnsi="Verdana"/>
          <w:sz w:val="19"/>
          <w:szCs w:val="18"/>
          <w:lang w:val="fr-CA"/>
        </w:rPr>
        <w:t>Afin de déterminer les candidats évaluateurs potentiels, l</w:t>
      </w:r>
      <w:r w:rsidR="009F7223" w:rsidRPr="009F7223">
        <w:rPr>
          <w:rFonts w:ascii="Verdana" w:hAnsi="Verdana"/>
          <w:sz w:val="19"/>
          <w:szCs w:val="18"/>
          <w:lang w:val="fr-CA"/>
        </w:rPr>
        <w:t>es renseignements fournis</w:t>
      </w:r>
      <w:r w:rsidR="009F7223">
        <w:rPr>
          <w:rFonts w:ascii="Verdana" w:hAnsi="Verdana"/>
          <w:sz w:val="19"/>
          <w:szCs w:val="18"/>
          <w:lang w:val="fr-CA"/>
        </w:rPr>
        <w:t xml:space="preserve"> sur les activités </w:t>
      </w:r>
      <w:r w:rsidR="00EE5C42">
        <w:rPr>
          <w:rFonts w:ascii="Verdana" w:hAnsi="Verdana"/>
          <w:sz w:val="19"/>
          <w:szCs w:val="18"/>
          <w:lang w:val="fr-CA"/>
        </w:rPr>
        <w:t xml:space="preserve">liées aux </w:t>
      </w:r>
      <w:r w:rsidR="009F7223">
        <w:rPr>
          <w:rFonts w:ascii="Verdana" w:hAnsi="Verdana"/>
          <w:sz w:val="19"/>
          <w:szCs w:val="18"/>
          <w:lang w:val="fr-CA"/>
        </w:rPr>
        <w:t>contrats/</w:t>
      </w:r>
      <w:r w:rsidR="00724591">
        <w:rPr>
          <w:rFonts w:ascii="Verdana" w:hAnsi="Verdana"/>
          <w:sz w:val="19"/>
          <w:szCs w:val="18"/>
          <w:lang w:val="fr-CA"/>
        </w:rPr>
        <w:t xml:space="preserve">commandes subséquentes </w:t>
      </w:r>
      <w:r w:rsidR="00EE5C42">
        <w:rPr>
          <w:rFonts w:ascii="Verdana" w:hAnsi="Verdana"/>
          <w:sz w:val="19"/>
          <w:szCs w:val="18"/>
          <w:lang w:val="fr-CA"/>
        </w:rPr>
        <w:t>seront</w:t>
      </w:r>
      <w:r>
        <w:rPr>
          <w:rFonts w:ascii="Verdana" w:hAnsi="Verdana"/>
          <w:sz w:val="19"/>
          <w:szCs w:val="18"/>
          <w:lang w:val="fr-CA"/>
        </w:rPr>
        <w:t xml:space="preserve"> examinés en fonction des critères </w:t>
      </w:r>
      <w:proofErr w:type="gramStart"/>
      <w:r>
        <w:rPr>
          <w:rFonts w:ascii="Verdana" w:hAnsi="Verdana"/>
          <w:sz w:val="19"/>
          <w:szCs w:val="18"/>
          <w:lang w:val="fr-CA"/>
        </w:rPr>
        <w:t xml:space="preserve">suivants </w:t>
      </w:r>
      <w:r w:rsidR="00724591">
        <w:rPr>
          <w:rFonts w:ascii="Verdana" w:hAnsi="Verdana"/>
          <w:sz w:val="19"/>
          <w:szCs w:val="18"/>
          <w:lang w:val="fr-CA"/>
        </w:rPr>
        <w:t xml:space="preserve"> </w:t>
      </w:r>
      <w:r w:rsidR="00ED3454" w:rsidRPr="009F7223">
        <w:rPr>
          <w:rFonts w:ascii="Verdana" w:hAnsi="Verdana"/>
          <w:sz w:val="19"/>
          <w:szCs w:val="18"/>
          <w:lang w:val="fr-CA"/>
        </w:rPr>
        <w:t>:</w:t>
      </w:r>
      <w:proofErr w:type="gramEnd"/>
      <w:r w:rsidR="00ED3454" w:rsidRPr="009F7223">
        <w:rPr>
          <w:rFonts w:ascii="Verdana" w:hAnsi="Verdana"/>
          <w:sz w:val="19"/>
          <w:szCs w:val="18"/>
          <w:lang w:val="fr-CA"/>
        </w:rPr>
        <w:br/>
      </w:r>
    </w:p>
    <w:p w:rsidR="00ED3454" w:rsidRPr="009F7223" w:rsidRDefault="00565AB9" w:rsidP="00ED3454">
      <w:pPr>
        <w:numPr>
          <w:ilvl w:val="0"/>
          <w:numId w:val="3"/>
        </w:numPr>
        <w:tabs>
          <w:tab w:val="num" w:pos="1080"/>
        </w:tabs>
        <w:rPr>
          <w:rFonts w:ascii="Verdana" w:hAnsi="Verdana"/>
          <w:sz w:val="19"/>
          <w:szCs w:val="18"/>
          <w:lang w:val="fr-CA"/>
        </w:rPr>
      </w:pPr>
      <w:r>
        <w:rPr>
          <w:rFonts w:ascii="Verdana" w:hAnsi="Verdana"/>
          <w:sz w:val="19"/>
          <w:szCs w:val="18"/>
          <w:lang w:val="fr-CA"/>
        </w:rPr>
        <w:t>la valeur élevée de la commande subséquente ou du contrat initial</w:t>
      </w:r>
      <w:r w:rsidR="00ED3454" w:rsidRPr="009F7223">
        <w:rPr>
          <w:rFonts w:ascii="Verdana" w:hAnsi="Verdana"/>
          <w:sz w:val="19"/>
          <w:szCs w:val="18"/>
          <w:lang w:val="fr-CA"/>
        </w:rPr>
        <w:t>;</w:t>
      </w:r>
    </w:p>
    <w:p w:rsidR="00ED3454" w:rsidRPr="009F7223" w:rsidRDefault="0072382D" w:rsidP="00ED3454">
      <w:pPr>
        <w:numPr>
          <w:ilvl w:val="0"/>
          <w:numId w:val="3"/>
        </w:numPr>
        <w:tabs>
          <w:tab w:val="num" w:pos="1080"/>
        </w:tabs>
        <w:rPr>
          <w:rFonts w:ascii="Verdana" w:hAnsi="Verdana"/>
          <w:sz w:val="19"/>
          <w:szCs w:val="18"/>
          <w:lang w:val="fr-CA"/>
        </w:rPr>
      </w:pPr>
      <w:r>
        <w:rPr>
          <w:rFonts w:ascii="Verdana" w:hAnsi="Verdana"/>
          <w:sz w:val="19"/>
          <w:szCs w:val="18"/>
          <w:lang w:val="fr-CA"/>
        </w:rPr>
        <w:t>la valeur t</w:t>
      </w:r>
      <w:r w:rsidR="00ED3454" w:rsidRPr="009F7223">
        <w:rPr>
          <w:rFonts w:ascii="Verdana" w:hAnsi="Verdana"/>
          <w:sz w:val="19"/>
          <w:szCs w:val="18"/>
          <w:lang w:val="fr-CA"/>
        </w:rPr>
        <w:t>otal</w:t>
      </w:r>
      <w:r>
        <w:rPr>
          <w:rFonts w:ascii="Verdana" w:hAnsi="Verdana"/>
          <w:sz w:val="19"/>
          <w:szCs w:val="18"/>
          <w:lang w:val="fr-CA"/>
        </w:rPr>
        <w:t xml:space="preserve">e des modifications suite à une commande subséquente ou un contrat de plus de </w:t>
      </w:r>
      <w:r w:rsidR="006D45BD">
        <w:rPr>
          <w:rFonts w:ascii="Verdana" w:hAnsi="Verdana"/>
          <w:sz w:val="19"/>
          <w:szCs w:val="18"/>
          <w:lang w:val="fr-CA"/>
        </w:rPr>
        <w:t>100 000 </w:t>
      </w:r>
      <w:r>
        <w:rPr>
          <w:rFonts w:ascii="Verdana" w:hAnsi="Verdana"/>
          <w:sz w:val="19"/>
          <w:szCs w:val="18"/>
          <w:lang w:val="fr-CA"/>
        </w:rPr>
        <w:t>$</w:t>
      </w:r>
      <w:r w:rsidR="00ED3454" w:rsidRPr="009F7223">
        <w:rPr>
          <w:rFonts w:ascii="Verdana" w:hAnsi="Verdana"/>
          <w:sz w:val="19"/>
          <w:szCs w:val="18"/>
          <w:lang w:val="fr-CA"/>
        </w:rPr>
        <w:t>;</w:t>
      </w:r>
    </w:p>
    <w:p w:rsidR="00ED3454" w:rsidRPr="009F7223" w:rsidRDefault="00E7384A" w:rsidP="00ED3454">
      <w:pPr>
        <w:numPr>
          <w:ilvl w:val="0"/>
          <w:numId w:val="3"/>
        </w:numPr>
        <w:tabs>
          <w:tab w:val="num" w:pos="1080"/>
        </w:tabs>
        <w:rPr>
          <w:rFonts w:ascii="Verdana" w:hAnsi="Verdana"/>
          <w:sz w:val="19"/>
          <w:szCs w:val="18"/>
          <w:lang w:val="fr-CA"/>
        </w:rPr>
      </w:pPr>
      <w:r>
        <w:rPr>
          <w:rFonts w:ascii="Verdana" w:hAnsi="Verdana"/>
          <w:sz w:val="19"/>
          <w:szCs w:val="18"/>
          <w:lang w:val="fr-CA"/>
        </w:rPr>
        <w:t xml:space="preserve">les </w:t>
      </w:r>
      <w:r w:rsidR="006D45BD">
        <w:rPr>
          <w:rFonts w:ascii="Verdana" w:hAnsi="Verdana"/>
          <w:sz w:val="19"/>
          <w:szCs w:val="18"/>
          <w:lang w:val="fr-CA"/>
        </w:rPr>
        <w:t>commandes</w:t>
      </w:r>
      <w:r>
        <w:rPr>
          <w:rFonts w:ascii="Verdana" w:hAnsi="Verdana"/>
          <w:sz w:val="19"/>
          <w:szCs w:val="18"/>
          <w:lang w:val="fr-CA"/>
        </w:rPr>
        <w:t xml:space="preserve"> </w:t>
      </w:r>
      <w:r w:rsidR="006D45BD">
        <w:rPr>
          <w:rFonts w:ascii="Verdana" w:hAnsi="Verdana"/>
          <w:sz w:val="19"/>
          <w:szCs w:val="18"/>
          <w:lang w:val="fr-CA"/>
        </w:rPr>
        <w:t>subséquentes</w:t>
      </w:r>
      <w:r>
        <w:rPr>
          <w:rFonts w:ascii="Verdana" w:hAnsi="Verdana"/>
          <w:sz w:val="19"/>
          <w:szCs w:val="18"/>
          <w:lang w:val="fr-CA"/>
        </w:rPr>
        <w:t xml:space="preserve"> ou les contrats de plus de </w:t>
      </w:r>
      <w:r w:rsidR="00ED3454" w:rsidRPr="009F7223">
        <w:rPr>
          <w:rFonts w:ascii="Verdana" w:hAnsi="Verdana"/>
          <w:sz w:val="19"/>
          <w:szCs w:val="18"/>
          <w:lang w:val="fr-CA"/>
        </w:rPr>
        <w:t>48</w:t>
      </w:r>
      <w:r>
        <w:rPr>
          <w:rFonts w:ascii="Verdana" w:hAnsi="Verdana"/>
          <w:sz w:val="19"/>
          <w:szCs w:val="18"/>
          <w:lang w:val="fr-CA"/>
        </w:rPr>
        <w:t xml:space="preserve"> semaines</w:t>
      </w:r>
      <w:r w:rsidR="00ED3454" w:rsidRPr="009F7223">
        <w:rPr>
          <w:rFonts w:ascii="Verdana" w:hAnsi="Verdana"/>
          <w:sz w:val="19"/>
          <w:szCs w:val="18"/>
          <w:lang w:val="fr-CA"/>
        </w:rPr>
        <w:t>;</w:t>
      </w:r>
    </w:p>
    <w:p w:rsidR="00ED3454" w:rsidRPr="009F7223" w:rsidRDefault="00E7384A" w:rsidP="00ED3454">
      <w:pPr>
        <w:numPr>
          <w:ilvl w:val="0"/>
          <w:numId w:val="3"/>
        </w:numPr>
        <w:tabs>
          <w:tab w:val="num" w:pos="1080"/>
        </w:tabs>
        <w:rPr>
          <w:rFonts w:ascii="Verdana" w:hAnsi="Verdana"/>
          <w:sz w:val="19"/>
          <w:szCs w:val="18"/>
          <w:lang w:val="fr-CA"/>
        </w:rPr>
      </w:pPr>
      <w:r>
        <w:rPr>
          <w:rFonts w:ascii="Verdana" w:hAnsi="Verdana"/>
          <w:sz w:val="19"/>
          <w:szCs w:val="18"/>
          <w:lang w:val="fr-CA"/>
        </w:rPr>
        <w:t>l’i</w:t>
      </w:r>
      <w:r w:rsidR="00ED3454" w:rsidRPr="009F7223">
        <w:rPr>
          <w:rFonts w:ascii="Verdana" w:hAnsi="Verdana"/>
          <w:sz w:val="19"/>
          <w:szCs w:val="18"/>
          <w:lang w:val="fr-CA"/>
        </w:rPr>
        <w:t>nformation</w:t>
      </w:r>
      <w:r>
        <w:rPr>
          <w:rFonts w:ascii="Verdana" w:hAnsi="Verdana"/>
          <w:sz w:val="19"/>
          <w:szCs w:val="18"/>
          <w:lang w:val="fr-CA"/>
        </w:rPr>
        <w:t xml:space="preserve"> présentée dans les rapports </w:t>
      </w:r>
      <w:r w:rsidR="00EE5C42">
        <w:rPr>
          <w:rFonts w:ascii="Verdana" w:hAnsi="Verdana"/>
          <w:sz w:val="19"/>
          <w:szCs w:val="18"/>
          <w:lang w:val="fr-CA"/>
        </w:rPr>
        <w:t xml:space="preserve">qui </w:t>
      </w:r>
      <w:r>
        <w:rPr>
          <w:rFonts w:ascii="Verdana" w:hAnsi="Verdana"/>
          <w:sz w:val="19"/>
          <w:szCs w:val="18"/>
          <w:lang w:val="fr-CA"/>
        </w:rPr>
        <w:t xml:space="preserve">laisse </w:t>
      </w:r>
      <w:r w:rsidR="006D45BD">
        <w:rPr>
          <w:rFonts w:ascii="Verdana" w:hAnsi="Verdana"/>
          <w:sz w:val="19"/>
          <w:szCs w:val="18"/>
          <w:lang w:val="fr-CA"/>
        </w:rPr>
        <w:t>supposer</w:t>
      </w:r>
      <w:r>
        <w:rPr>
          <w:rFonts w:ascii="Verdana" w:hAnsi="Verdana"/>
          <w:sz w:val="19"/>
          <w:szCs w:val="18"/>
          <w:lang w:val="fr-CA"/>
        </w:rPr>
        <w:t xml:space="preserve"> que des fractionnements de contrat ont eu lieu;</w:t>
      </w:r>
      <w:r w:rsidR="00ED3454" w:rsidRPr="009F7223">
        <w:rPr>
          <w:rFonts w:ascii="Verdana" w:hAnsi="Verdana"/>
          <w:sz w:val="19"/>
          <w:szCs w:val="18"/>
          <w:lang w:val="fr-CA"/>
        </w:rPr>
        <w:t xml:space="preserve"> </w:t>
      </w:r>
    </w:p>
    <w:p w:rsidR="00ED3454" w:rsidRPr="009F7223" w:rsidRDefault="003C1BF2" w:rsidP="00ED3454">
      <w:pPr>
        <w:numPr>
          <w:ilvl w:val="0"/>
          <w:numId w:val="3"/>
        </w:numPr>
        <w:tabs>
          <w:tab w:val="num" w:pos="1080"/>
        </w:tabs>
        <w:rPr>
          <w:rFonts w:ascii="Verdana" w:hAnsi="Verdana"/>
          <w:color w:val="000000"/>
          <w:sz w:val="19"/>
          <w:szCs w:val="18"/>
          <w:lang w:val="fr-CA"/>
        </w:rPr>
      </w:pPr>
      <w:r>
        <w:rPr>
          <w:rFonts w:ascii="Verdana" w:hAnsi="Verdana"/>
          <w:sz w:val="19"/>
          <w:szCs w:val="18"/>
          <w:lang w:val="fr-CA"/>
        </w:rPr>
        <w:t>au moins une commande subséquente et un contrat</w:t>
      </w:r>
      <w:r w:rsidR="00ED3454" w:rsidRPr="009F7223">
        <w:rPr>
          <w:rFonts w:ascii="Verdana" w:hAnsi="Verdana"/>
          <w:sz w:val="19"/>
          <w:szCs w:val="18"/>
          <w:lang w:val="fr-CA"/>
        </w:rPr>
        <w:t xml:space="preserve"> (</w:t>
      </w:r>
      <w:r>
        <w:rPr>
          <w:rFonts w:ascii="Verdana" w:hAnsi="Verdana"/>
          <w:sz w:val="19"/>
          <w:szCs w:val="18"/>
          <w:lang w:val="fr-CA"/>
        </w:rPr>
        <w:t>le cas échéant</w:t>
      </w:r>
      <w:r w:rsidR="00ED3454" w:rsidRPr="009F7223">
        <w:rPr>
          <w:rFonts w:ascii="Verdana" w:hAnsi="Verdana"/>
          <w:sz w:val="19"/>
          <w:szCs w:val="18"/>
          <w:lang w:val="fr-CA"/>
        </w:rPr>
        <w:t>) p</w:t>
      </w:r>
      <w:r>
        <w:rPr>
          <w:rFonts w:ascii="Verdana" w:hAnsi="Verdana"/>
          <w:sz w:val="19"/>
          <w:szCs w:val="18"/>
          <w:lang w:val="fr-CA"/>
        </w:rPr>
        <w:t>a</w:t>
      </w:r>
      <w:r w:rsidR="00ED3454" w:rsidRPr="009F7223">
        <w:rPr>
          <w:rFonts w:ascii="Verdana" w:hAnsi="Verdana"/>
          <w:sz w:val="19"/>
          <w:szCs w:val="18"/>
          <w:lang w:val="fr-CA"/>
        </w:rPr>
        <w:t xml:space="preserve">r </w:t>
      </w:r>
      <w:r>
        <w:rPr>
          <w:rFonts w:ascii="Verdana" w:hAnsi="Verdana"/>
          <w:sz w:val="19"/>
          <w:szCs w:val="18"/>
          <w:lang w:val="fr-CA"/>
        </w:rPr>
        <w:t xml:space="preserve">utilisateur </w:t>
      </w:r>
      <w:r w:rsidR="006D45BD">
        <w:rPr>
          <w:rFonts w:ascii="Verdana" w:hAnsi="Verdana"/>
          <w:sz w:val="19"/>
          <w:szCs w:val="18"/>
          <w:lang w:val="fr-CA"/>
        </w:rPr>
        <w:t>seraient</w:t>
      </w:r>
      <w:r>
        <w:rPr>
          <w:rFonts w:ascii="Verdana" w:hAnsi="Verdana"/>
          <w:sz w:val="19"/>
          <w:szCs w:val="18"/>
          <w:lang w:val="fr-CA"/>
        </w:rPr>
        <w:t xml:space="preserve"> </w:t>
      </w:r>
      <w:r w:rsidR="006D45BD">
        <w:rPr>
          <w:rFonts w:ascii="Verdana" w:hAnsi="Verdana"/>
          <w:sz w:val="19"/>
          <w:szCs w:val="18"/>
          <w:lang w:val="fr-CA"/>
        </w:rPr>
        <w:t>sélectionnés</w:t>
      </w:r>
      <w:r>
        <w:rPr>
          <w:rFonts w:ascii="Verdana" w:hAnsi="Verdana"/>
          <w:sz w:val="19"/>
          <w:szCs w:val="18"/>
          <w:lang w:val="fr-CA"/>
        </w:rPr>
        <w:t xml:space="preserve"> aux fins d’évaluation. </w:t>
      </w:r>
    </w:p>
    <w:p w:rsidR="00D5036A" w:rsidRPr="00D5036A" w:rsidRDefault="00D5036A" w:rsidP="00D5036A">
      <w:pPr>
        <w:pStyle w:val="Heading2"/>
        <w:rPr>
          <w:sz w:val="27"/>
          <w:szCs w:val="27"/>
          <w:lang w:val="fr-CA"/>
        </w:rPr>
      </w:pPr>
      <w:r w:rsidRPr="00D5036A">
        <w:rPr>
          <w:sz w:val="27"/>
          <w:szCs w:val="27"/>
          <w:lang w:val="fr-CA"/>
        </w:rPr>
        <w:t>Processus d’évaluation</w:t>
      </w:r>
    </w:p>
    <w:p w:rsidR="00B14786" w:rsidRPr="00B05ECC" w:rsidRDefault="00B14786" w:rsidP="00B14786">
      <w:pPr>
        <w:pStyle w:val="NormalWeb"/>
        <w:shd w:val="clear" w:color="auto" w:fill="FFFFFF"/>
        <w:rPr>
          <w:sz w:val="19"/>
          <w:szCs w:val="19"/>
          <w:lang w:val="fr-CA"/>
        </w:rPr>
      </w:pPr>
      <w:r w:rsidRPr="00B05ECC">
        <w:rPr>
          <w:sz w:val="19"/>
          <w:szCs w:val="19"/>
          <w:lang w:val="fr-FR"/>
        </w:rPr>
        <w:t xml:space="preserve">Une fois l'évaluation terminée, une copie du rapport portant sur chaque </w:t>
      </w:r>
      <w:r w:rsidR="00163557" w:rsidRPr="00B05ECC">
        <w:rPr>
          <w:sz w:val="19"/>
          <w:szCs w:val="19"/>
          <w:lang w:val="fr-FR"/>
        </w:rPr>
        <w:t>commande subséquente</w:t>
      </w:r>
      <w:r w:rsidR="006D45BD" w:rsidRPr="00B05ECC">
        <w:rPr>
          <w:sz w:val="19"/>
          <w:szCs w:val="19"/>
          <w:lang w:val="fr-FR"/>
        </w:rPr>
        <w:t xml:space="preserve"> ou </w:t>
      </w:r>
      <w:r w:rsidRPr="00B05ECC">
        <w:rPr>
          <w:sz w:val="19"/>
          <w:szCs w:val="19"/>
          <w:lang w:val="fr-FR"/>
        </w:rPr>
        <w:t xml:space="preserve">contrat évalué ainsi qu'un sommaire des constatations </w:t>
      </w:r>
      <w:r w:rsidR="006D45BD" w:rsidRPr="00B05ECC">
        <w:rPr>
          <w:sz w:val="19"/>
          <w:szCs w:val="19"/>
          <w:lang w:val="fr-FR"/>
        </w:rPr>
        <w:t>ser</w:t>
      </w:r>
      <w:r w:rsidR="00D60BDD" w:rsidRPr="00B05ECC">
        <w:rPr>
          <w:sz w:val="19"/>
          <w:szCs w:val="19"/>
          <w:lang w:val="fr-FR"/>
        </w:rPr>
        <w:t>ont</w:t>
      </w:r>
      <w:r w:rsidRPr="00B05ECC">
        <w:rPr>
          <w:sz w:val="19"/>
          <w:szCs w:val="19"/>
          <w:lang w:val="fr-FR"/>
        </w:rPr>
        <w:t xml:space="preserve"> </w:t>
      </w:r>
      <w:r w:rsidR="006D45BD" w:rsidRPr="00B05ECC">
        <w:rPr>
          <w:sz w:val="19"/>
          <w:szCs w:val="19"/>
          <w:lang w:val="fr-FR"/>
        </w:rPr>
        <w:t>fourni</w:t>
      </w:r>
      <w:r w:rsidR="00D60BDD" w:rsidRPr="00B05ECC">
        <w:rPr>
          <w:sz w:val="19"/>
          <w:szCs w:val="19"/>
          <w:lang w:val="fr-FR"/>
        </w:rPr>
        <w:t>s</w:t>
      </w:r>
      <w:r w:rsidRPr="00B05ECC">
        <w:rPr>
          <w:sz w:val="19"/>
          <w:szCs w:val="19"/>
          <w:lang w:val="fr-FR"/>
        </w:rPr>
        <w:t xml:space="preserve"> à l'utilisateur </w:t>
      </w:r>
      <w:r w:rsidR="00163557" w:rsidRPr="00B05ECC">
        <w:rPr>
          <w:sz w:val="19"/>
          <w:szCs w:val="19"/>
          <w:lang w:val="fr-FR"/>
        </w:rPr>
        <w:t>désigné</w:t>
      </w:r>
      <w:r w:rsidRPr="00B05ECC">
        <w:rPr>
          <w:sz w:val="19"/>
          <w:szCs w:val="19"/>
          <w:lang w:val="fr-FR"/>
        </w:rPr>
        <w:t xml:space="preserve"> et à son gestionnaire.</w:t>
      </w:r>
      <w:r w:rsidRPr="00B05ECC">
        <w:rPr>
          <w:sz w:val="19"/>
          <w:szCs w:val="19"/>
          <w:lang w:val="fr-CA"/>
        </w:rPr>
        <w:t xml:space="preserve"> </w:t>
      </w:r>
      <w:r w:rsidRPr="00B05ECC">
        <w:rPr>
          <w:sz w:val="19"/>
          <w:szCs w:val="19"/>
          <w:lang w:val="fr-FR"/>
        </w:rPr>
        <w:t>Une période sera accordée au gestionnaire d</w:t>
      </w:r>
      <w:r w:rsidR="00E9299F" w:rsidRPr="00B05ECC">
        <w:rPr>
          <w:sz w:val="19"/>
          <w:szCs w:val="19"/>
          <w:lang w:val="fr-FR"/>
        </w:rPr>
        <w:t>e l</w:t>
      </w:r>
      <w:r w:rsidRPr="00B05ECC">
        <w:rPr>
          <w:sz w:val="19"/>
          <w:szCs w:val="19"/>
          <w:lang w:val="fr-FR"/>
        </w:rPr>
        <w:t>'utilisateur</w:t>
      </w:r>
      <w:r w:rsidR="00E9299F" w:rsidRPr="00B05ECC">
        <w:rPr>
          <w:sz w:val="19"/>
          <w:szCs w:val="19"/>
          <w:lang w:val="fr-FR"/>
        </w:rPr>
        <w:t xml:space="preserve"> désigné</w:t>
      </w:r>
      <w:r w:rsidRPr="00B05ECC">
        <w:rPr>
          <w:sz w:val="19"/>
          <w:szCs w:val="19"/>
          <w:lang w:val="fr-FR"/>
        </w:rPr>
        <w:t xml:space="preserve"> pour contester les constatations formulées dans le rapport d'évaluation.</w:t>
      </w:r>
      <w:r w:rsidRPr="00B05ECC">
        <w:rPr>
          <w:sz w:val="19"/>
          <w:szCs w:val="19"/>
          <w:lang w:val="fr-CA"/>
        </w:rPr>
        <w:t xml:space="preserve"> </w:t>
      </w:r>
      <w:r w:rsidRPr="00B05ECC">
        <w:rPr>
          <w:sz w:val="19"/>
          <w:szCs w:val="19"/>
          <w:lang w:val="fr-FR"/>
        </w:rPr>
        <w:t xml:space="preserve">Veuillez </w:t>
      </w:r>
      <w:r w:rsidR="00D60BDD" w:rsidRPr="00B05ECC">
        <w:rPr>
          <w:sz w:val="19"/>
          <w:szCs w:val="19"/>
          <w:lang w:val="fr-FR"/>
        </w:rPr>
        <w:t>consulter</w:t>
      </w:r>
      <w:r w:rsidRPr="00B05ECC">
        <w:rPr>
          <w:sz w:val="19"/>
          <w:szCs w:val="19"/>
          <w:lang w:val="fr-FR"/>
        </w:rPr>
        <w:t xml:space="preserve"> la section </w:t>
      </w:r>
      <w:r w:rsidR="00D60BDD" w:rsidRPr="00B05ECC">
        <w:rPr>
          <w:sz w:val="19"/>
          <w:szCs w:val="19"/>
          <w:lang w:val="fr-FR"/>
        </w:rPr>
        <w:t>portant sur les a</w:t>
      </w:r>
      <w:r w:rsidRPr="00B05ECC">
        <w:rPr>
          <w:sz w:val="19"/>
          <w:szCs w:val="19"/>
          <w:lang w:val="fr-FR"/>
        </w:rPr>
        <w:t xml:space="preserve">ppels pour obtenir des précisions. Un sommaire des constatations de l’évaluation sera également fourni aux cadres supérieurs du ministère ou de l’organisme ayant fait l’objet de l’évaluation, afin de favoriser les discussions </w:t>
      </w:r>
      <w:r w:rsidR="00AC3367" w:rsidRPr="00B05ECC">
        <w:rPr>
          <w:sz w:val="19"/>
          <w:szCs w:val="19"/>
          <w:lang w:val="fr-FR"/>
        </w:rPr>
        <w:t>entre</w:t>
      </w:r>
      <w:r w:rsidRPr="00B05ECC">
        <w:rPr>
          <w:sz w:val="19"/>
          <w:szCs w:val="19"/>
          <w:lang w:val="fr-FR"/>
        </w:rPr>
        <w:t xml:space="preserve"> TPSGC</w:t>
      </w:r>
      <w:r w:rsidR="00E93D19" w:rsidRPr="00B05ECC">
        <w:rPr>
          <w:sz w:val="19"/>
          <w:szCs w:val="19"/>
          <w:lang w:val="fr-FR"/>
        </w:rPr>
        <w:t xml:space="preserve"> et les cadres supérieurs du ministère ou de l’organisme</w:t>
      </w:r>
      <w:r w:rsidR="00AC3367" w:rsidRPr="00B05ECC">
        <w:rPr>
          <w:sz w:val="19"/>
          <w:szCs w:val="19"/>
          <w:lang w:val="fr-FR"/>
        </w:rPr>
        <w:t xml:space="preserve"> concerné</w:t>
      </w:r>
      <w:r w:rsidRPr="00B05ECC">
        <w:rPr>
          <w:sz w:val="19"/>
          <w:szCs w:val="19"/>
          <w:lang w:val="fr-FR"/>
        </w:rPr>
        <w:t>.</w:t>
      </w:r>
    </w:p>
    <w:p w:rsidR="00B14786" w:rsidRPr="00C205C3" w:rsidRDefault="00B14786" w:rsidP="00B14786">
      <w:pPr>
        <w:pStyle w:val="NormalWeb"/>
        <w:shd w:val="clear" w:color="auto" w:fill="FFFFFF"/>
        <w:rPr>
          <w:sz w:val="19"/>
          <w:szCs w:val="19"/>
          <w:lang w:val="fr-CA"/>
        </w:rPr>
      </w:pPr>
      <w:r w:rsidRPr="00C205C3">
        <w:rPr>
          <w:sz w:val="19"/>
          <w:szCs w:val="19"/>
          <w:lang w:val="fr-FR"/>
        </w:rPr>
        <w:t xml:space="preserve">En outre, un sommaire des </w:t>
      </w:r>
      <w:r w:rsidR="006D45BD" w:rsidRPr="00C205C3">
        <w:rPr>
          <w:sz w:val="19"/>
          <w:szCs w:val="19"/>
          <w:lang w:val="fr-FR"/>
        </w:rPr>
        <w:t>constatations</w:t>
      </w:r>
      <w:r w:rsidRPr="00C205C3">
        <w:rPr>
          <w:sz w:val="19"/>
          <w:szCs w:val="19"/>
          <w:lang w:val="fr-FR"/>
        </w:rPr>
        <w:t xml:space="preserve"> de l’évaluation de tous les ministères et organismes sera remis au Comité directeur des services professionnels.</w:t>
      </w:r>
      <w:r w:rsidRPr="00C205C3">
        <w:rPr>
          <w:sz w:val="19"/>
          <w:szCs w:val="19"/>
          <w:lang w:val="fr-CA"/>
        </w:rPr>
        <w:t xml:space="preserve"> </w:t>
      </w:r>
      <w:r w:rsidRPr="00C205C3">
        <w:rPr>
          <w:sz w:val="19"/>
          <w:szCs w:val="19"/>
          <w:lang w:val="fr-FR"/>
        </w:rPr>
        <w:t xml:space="preserve">Ces sommaires pourraient servir à </w:t>
      </w:r>
      <w:r w:rsidRPr="00C205C3">
        <w:rPr>
          <w:sz w:val="19"/>
          <w:szCs w:val="19"/>
          <w:lang w:val="fr-FR"/>
        </w:rPr>
        <w:lastRenderedPageBreak/>
        <w:t>améliorer</w:t>
      </w:r>
      <w:r w:rsidR="00033791" w:rsidRPr="00C205C3">
        <w:rPr>
          <w:sz w:val="19"/>
          <w:szCs w:val="19"/>
          <w:lang w:val="fr-FR"/>
        </w:rPr>
        <w:t xml:space="preserve"> la méthode d’approvisionnement </w:t>
      </w:r>
      <w:r w:rsidRPr="00C205C3">
        <w:rPr>
          <w:sz w:val="19"/>
          <w:szCs w:val="19"/>
          <w:lang w:val="fr-FR"/>
        </w:rPr>
        <w:t xml:space="preserve">ainsi que la formation qui est offerte relativement à </w:t>
      </w:r>
      <w:r w:rsidR="00033791" w:rsidRPr="00C205C3">
        <w:rPr>
          <w:sz w:val="19"/>
          <w:szCs w:val="19"/>
          <w:lang w:val="fr-FR"/>
        </w:rPr>
        <w:t>l’</w:t>
      </w:r>
      <w:r w:rsidRPr="00C205C3">
        <w:rPr>
          <w:sz w:val="19"/>
          <w:szCs w:val="19"/>
          <w:lang w:val="fr-FR"/>
        </w:rPr>
        <w:t>utilisation</w:t>
      </w:r>
      <w:r w:rsidR="00033791" w:rsidRPr="00C205C3">
        <w:rPr>
          <w:sz w:val="19"/>
          <w:szCs w:val="19"/>
          <w:lang w:val="fr-FR"/>
        </w:rPr>
        <w:t xml:space="preserve"> du système des SAT en ligne</w:t>
      </w:r>
      <w:r w:rsidRPr="00C205C3">
        <w:rPr>
          <w:sz w:val="19"/>
          <w:szCs w:val="19"/>
          <w:lang w:val="fr-FR"/>
        </w:rPr>
        <w:t>.</w:t>
      </w:r>
    </w:p>
    <w:p w:rsidR="00B14786" w:rsidRPr="00616F2E" w:rsidRDefault="00C057FC" w:rsidP="00B14786">
      <w:pPr>
        <w:pStyle w:val="NormalWeb"/>
        <w:shd w:val="clear" w:color="auto" w:fill="FFFFFF"/>
        <w:rPr>
          <w:color w:val="000000"/>
          <w:sz w:val="19"/>
          <w:szCs w:val="19"/>
          <w:lang w:val="fr-CA"/>
        </w:rPr>
      </w:pPr>
      <w:r w:rsidRPr="00616F2E">
        <w:rPr>
          <w:color w:val="000000"/>
          <w:sz w:val="19"/>
          <w:szCs w:val="19"/>
          <w:lang w:val="fr-CA"/>
        </w:rPr>
        <w:t>Voici les t</w:t>
      </w:r>
      <w:r w:rsidR="00B14786" w:rsidRPr="00616F2E">
        <w:rPr>
          <w:color w:val="000000"/>
          <w:sz w:val="19"/>
          <w:szCs w:val="19"/>
          <w:lang w:val="fr-CA"/>
        </w:rPr>
        <w:t>ypes</w:t>
      </w:r>
      <w:r w:rsidRPr="00616F2E">
        <w:rPr>
          <w:color w:val="000000"/>
          <w:sz w:val="19"/>
          <w:szCs w:val="19"/>
          <w:lang w:val="fr-CA"/>
        </w:rPr>
        <w:t xml:space="preserve"> </w:t>
      </w:r>
      <w:r w:rsidR="00B27113">
        <w:rPr>
          <w:color w:val="000000"/>
          <w:sz w:val="19"/>
          <w:szCs w:val="19"/>
          <w:lang w:val="fr-CA"/>
        </w:rPr>
        <w:t>de constatations de l</w:t>
      </w:r>
      <w:r w:rsidRPr="00616F2E">
        <w:rPr>
          <w:color w:val="000000"/>
          <w:sz w:val="19"/>
          <w:szCs w:val="19"/>
          <w:lang w:val="fr-CA"/>
        </w:rPr>
        <w:t xml:space="preserve">’évaluation </w:t>
      </w:r>
      <w:r w:rsidR="00B14786" w:rsidRPr="00616F2E">
        <w:rPr>
          <w:color w:val="000000"/>
          <w:sz w:val="19"/>
          <w:szCs w:val="19"/>
          <w:lang w:val="fr-CA"/>
        </w:rPr>
        <w:t>:</w:t>
      </w:r>
    </w:p>
    <w:p w:rsidR="00B14786" w:rsidRPr="00616F2E" w:rsidRDefault="00B14786" w:rsidP="00B14786">
      <w:pPr>
        <w:pStyle w:val="NormalWeb"/>
        <w:shd w:val="clear" w:color="auto" w:fill="FFFFFF"/>
        <w:rPr>
          <w:color w:val="000000"/>
          <w:sz w:val="19"/>
          <w:szCs w:val="19"/>
          <w:lang w:val="fr-CA"/>
        </w:rPr>
      </w:pPr>
      <w:r w:rsidRPr="00616F2E">
        <w:rPr>
          <w:color w:val="000000"/>
          <w:sz w:val="19"/>
          <w:szCs w:val="19"/>
          <w:lang w:val="fr-CA"/>
        </w:rPr>
        <w:t>Non-</w:t>
      </w:r>
      <w:r w:rsidR="00616F2E">
        <w:rPr>
          <w:color w:val="000000"/>
          <w:sz w:val="19"/>
          <w:szCs w:val="19"/>
          <w:lang w:val="fr-CA"/>
        </w:rPr>
        <w:t>conformité majeure (relativement aux politiques)</w:t>
      </w:r>
      <w:r w:rsidRPr="00616F2E">
        <w:rPr>
          <w:color w:val="000000"/>
          <w:sz w:val="19"/>
          <w:szCs w:val="19"/>
          <w:lang w:val="fr-CA"/>
        </w:rPr>
        <w:t xml:space="preserve"> – </w:t>
      </w:r>
      <w:r w:rsidR="00616F2E">
        <w:rPr>
          <w:color w:val="000000"/>
          <w:sz w:val="19"/>
          <w:szCs w:val="19"/>
          <w:lang w:val="fr-CA"/>
        </w:rPr>
        <w:t xml:space="preserve">mesure prise (ou non) par l’utilisateur désigné qui donne lieu à une </w:t>
      </w:r>
      <w:r w:rsidR="00886E2C">
        <w:rPr>
          <w:color w:val="000000"/>
          <w:sz w:val="19"/>
          <w:szCs w:val="19"/>
          <w:lang w:val="fr-CA"/>
        </w:rPr>
        <w:t>violation de</w:t>
      </w:r>
      <w:r w:rsidR="00616F2E">
        <w:rPr>
          <w:color w:val="000000"/>
          <w:sz w:val="19"/>
          <w:szCs w:val="19"/>
          <w:lang w:val="fr-CA"/>
        </w:rPr>
        <w:t xml:space="preserve"> la Politique sur les marchés du Conseil du Trésor ou </w:t>
      </w:r>
      <w:r w:rsidR="00886E2C">
        <w:rPr>
          <w:color w:val="000000"/>
          <w:sz w:val="19"/>
          <w:szCs w:val="19"/>
          <w:lang w:val="fr-CA"/>
        </w:rPr>
        <w:t>des</w:t>
      </w:r>
      <w:r w:rsidR="00616F2E">
        <w:rPr>
          <w:color w:val="000000"/>
          <w:sz w:val="19"/>
          <w:szCs w:val="19"/>
          <w:lang w:val="fr-CA"/>
        </w:rPr>
        <w:t xml:space="preserve"> lois fédérales/provinciales.  </w:t>
      </w:r>
    </w:p>
    <w:p w:rsidR="00B14786" w:rsidRPr="00616F2E" w:rsidRDefault="00A75966" w:rsidP="00B14786">
      <w:pPr>
        <w:pStyle w:val="NormalWeb"/>
        <w:shd w:val="clear" w:color="auto" w:fill="FFFFFF"/>
        <w:rPr>
          <w:color w:val="000000"/>
          <w:sz w:val="19"/>
          <w:szCs w:val="19"/>
          <w:lang w:val="fr-CA"/>
        </w:rPr>
      </w:pPr>
      <w:r>
        <w:rPr>
          <w:color w:val="000000"/>
          <w:sz w:val="19"/>
          <w:szCs w:val="19"/>
          <w:lang w:val="fr-CA"/>
        </w:rPr>
        <w:t xml:space="preserve">Non-conformité majeure </w:t>
      </w:r>
      <w:r w:rsidR="00B14786" w:rsidRPr="00616F2E">
        <w:rPr>
          <w:color w:val="000000"/>
          <w:sz w:val="19"/>
          <w:szCs w:val="19"/>
          <w:lang w:val="fr-CA"/>
        </w:rPr>
        <w:t>(</w:t>
      </w:r>
      <w:r>
        <w:rPr>
          <w:color w:val="000000"/>
          <w:sz w:val="19"/>
          <w:szCs w:val="19"/>
          <w:lang w:val="fr-CA"/>
        </w:rPr>
        <w:t>relativement aux procédures</w:t>
      </w:r>
      <w:r w:rsidR="00B14786" w:rsidRPr="00616F2E">
        <w:rPr>
          <w:color w:val="000000"/>
          <w:sz w:val="19"/>
          <w:szCs w:val="19"/>
          <w:lang w:val="fr-CA"/>
        </w:rPr>
        <w:t>)</w:t>
      </w:r>
      <w:r>
        <w:rPr>
          <w:color w:val="000000"/>
          <w:sz w:val="19"/>
          <w:szCs w:val="19"/>
          <w:lang w:val="fr-CA"/>
        </w:rPr>
        <w:t xml:space="preserve"> </w:t>
      </w:r>
      <w:r w:rsidR="00886E2C">
        <w:rPr>
          <w:color w:val="000000"/>
          <w:sz w:val="19"/>
          <w:szCs w:val="19"/>
          <w:lang w:val="fr-CA"/>
        </w:rPr>
        <w:t>–</w:t>
      </w:r>
      <w:r w:rsidR="00B14786" w:rsidRPr="00616F2E">
        <w:rPr>
          <w:color w:val="000000"/>
          <w:sz w:val="19"/>
          <w:szCs w:val="19"/>
          <w:lang w:val="fr-CA"/>
        </w:rPr>
        <w:t xml:space="preserve"> </w:t>
      </w:r>
      <w:r w:rsidR="00886E2C">
        <w:rPr>
          <w:color w:val="000000"/>
          <w:sz w:val="19"/>
          <w:szCs w:val="19"/>
          <w:lang w:val="fr-CA"/>
        </w:rPr>
        <w:t>mesure prise (ou non) par l’uti</w:t>
      </w:r>
      <w:r w:rsidR="00A73AC6">
        <w:rPr>
          <w:color w:val="000000"/>
          <w:sz w:val="19"/>
          <w:szCs w:val="19"/>
          <w:lang w:val="fr-CA"/>
        </w:rPr>
        <w:t>lisateur désigné qui donne lieu</w:t>
      </w:r>
      <w:r w:rsidR="00886E2C">
        <w:rPr>
          <w:color w:val="000000"/>
          <w:sz w:val="19"/>
          <w:szCs w:val="19"/>
          <w:lang w:val="fr-CA"/>
        </w:rPr>
        <w:t>, par exemple,</w:t>
      </w:r>
      <w:r w:rsidR="00A73AC6">
        <w:rPr>
          <w:color w:val="000000"/>
          <w:sz w:val="19"/>
          <w:szCs w:val="19"/>
          <w:lang w:val="fr-CA"/>
        </w:rPr>
        <w:t xml:space="preserve"> à</w:t>
      </w:r>
      <w:r w:rsidR="00886E2C">
        <w:rPr>
          <w:color w:val="000000"/>
          <w:sz w:val="19"/>
          <w:szCs w:val="19"/>
          <w:lang w:val="fr-CA"/>
        </w:rPr>
        <w:t xml:space="preserve"> l’utilisation inappropriée de l’outil d’approvisionnement des SAT en ligne. </w:t>
      </w:r>
    </w:p>
    <w:p w:rsidR="00B14786" w:rsidRPr="00616F2E" w:rsidRDefault="00B14786" w:rsidP="00B14786">
      <w:pPr>
        <w:pStyle w:val="NormalWeb"/>
        <w:shd w:val="clear" w:color="auto" w:fill="FFFFFF"/>
        <w:rPr>
          <w:rFonts w:cs="Arial"/>
          <w:sz w:val="19"/>
          <w:szCs w:val="19"/>
          <w:lang w:val="fr-CA"/>
        </w:rPr>
      </w:pPr>
      <w:r w:rsidRPr="00616F2E">
        <w:rPr>
          <w:color w:val="000000"/>
          <w:sz w:val="19"/>
          <w:szCs w:val="19"/>
          <w:lang w:val="fr-CA"/>
        </w:rPr>
        <w:t>Non-</w:t>
      </w:r>
      <w:r w:rsidR="00886E2C">
        <w:rPr>
          <w:color w:val="000000"/>
          <w:sz w:val="19"/>
          <w:szCs w:val="19"/>
          <w:lang w:val="fr-CA"/>
        </w:rPr>
        <w:t>conformité mineure –</w:t>
      </w:r>
      <w:r w:rsidR="00886E2C" w:rsidRPr="00886E2C">
        <w:rPr>
          <w:color w:val="000000"/>
          <w:sz w:val="19"/>
          <w:szCs w:val="19"/>
          <w:lang w:val="fr-CA"/>
        </w:rPr>
        <w:t xml:space="preserve"> </w:t>
      </w:r>
      <w:r w:rsidR="00886E2C">
        <w:rPr>
          <w:color w:val="000000"/>
          <w:sz w:val="19"/>
          <w:szCs w:val="19"/>
          <w:lang w:val="fr-CA"/>
        </w:rPr>
        <w:t>mesure prise (ou non) par l’utilisateur désigné qui donne lieu à une violation des règles</w:t>
      </w:r>
      <w:r w:rsidR="00A3249B">
        <w:rPr>
          <w:color w:val="000000"/>
          <w:sz w:val="19"/>
          <w:szCs w:val="19"/>
          <w:lang w:val="fr-CA"/>
        </w:rPr>
        <w:t xml:space="preserve"> régissant l’utilisation de l’outil d’approvisionnement des SAT en ligne. </w:t>
      </w:r>
      <w:r w:rsidR="00433911">
        <w:rPr>
          <w:color w:val="000000"/>
          <w:sz w:val="19"/>
          <w:szCs w:val="19"/>
          <w:lang w:val="fr-CA"/>
        </w:rPr>
        <w:t xml:space="preserve">La </w:t>
      </w:r>
      <w:r w:rsidR="00657AC6">
        <w:rPr>
          <w:color w:val="000000"/>
          <w:sz w:val="19"/>
          <w:szCs w:val="19"/>
          <w:lang w:val="fr-CA"/>
        </w:rPr>
        <w:t xml:space="preserve"> </w:t>
      </w:r>
      <w:r w:rsidRPr="00616F2E">
        <w:rPr>
          <w:rFonts w:cs="Arial"/>
          <w:sz w:val="19"/>
          <w:szCs w:val="19"/>
          <w:lang w:val="fr-CA"/>
        </w:rPr>
        <w:t>non-conform</w:t>
      </w:r>
      <w:r w:rsidR="00A819AB">
        <w:rPr>
          <w:rFonts w:cs="Arial"/>
          <w:sz w:val="19"/>
          <w:szCs w:val="19"/>
          <w:lang w:val="fr-CA"/>
        </w:rPr>
        <w:t xml:space="preserve">ité ne tient </w:t>
      </w:r>
      <w:r w:rsidR="00A73AC6">
        <w:rPr>
          <w:rFonts w:cs="Arial"/>
          <w:sz w:val="19"/>
          <w:szCs w:val="19"/>
          <w:lang w:val="fr-CA"/>
        </w:rPr>
        <w:t xml:space="preserve">cependant </w:t>
      </w:r>
      <w:r w:rsidR="00A819AB">
        <w:rPr>
          <w:rFonts w:cs="Arial"/>
          <w:sz w:val="19"/>
          <w:szCs w:val="19"/>
          <w:lang w:val="fr-CA"/>
        </w:rPr>
        <w:t xml:space="preserve">pas compte des critères applicables à l’un ou l’autre des types de non-conformité majeure. </w:t>
      </w:r>
    </w:p>
    <w:p w:rsidR="00B14786" w:rsidRPr="00616F2E" w:rsidRDefault="00B14786" w:rsidP="00B14786">
      <w:pPr>
        <w:rPr>
          <w:rFonts w:ascii="Verdana" w:hAnsi="Verdana"/>
          <w:color w:val="000000"/>
          <w:sz w:val="19"/>
          <w:szCs w:val="19"/>
          <w:lang w:val="fr-CA"/>
        </w:rPr>
      </w:pPr>
      <w:r w:rsidRPr="00616F2E">
        <w:rPr>
          <w:rFonts w:ascii="Verdana" w:hAnsi="Verdana"/>
          <w:sz w:val="19"/>
          <w:szCs w:val="19"/>
          <w:lang w:val="fr-CA"/>
        </w:rPr>
        <w:t xml:space="preserve">Observation </w:t>
      </w:r>
      <w:r w:rsidR="00A819AB">
        <w:rPr>
          <w:rFonts w:ascii="Verdana" w:hAnsi="Verdana"/>
          <w:sz w:val="19"/>
          <w:szCs w:val="19"/>
          <w:lang w:val="fr-CA"/>
        </w:rPr>
        <w:t>–</w:t>
      </w:r>
      <w:r w:rsidRPr="00616F2E">
        <w:rPr>
          <w:rFonts w:ascii="Verdana" w:hAnsi="Verdana"/>
          <w:sz w:val="19"/>
          <w:szCs w:val="19"/>
          <w:lang w:val="fr-CA"/>
        </w:rPr>
        <w:t xml:space="preserve"> </w:t>
      </w:r>
      <w:r w:rsidR="00A819AB">
        <w:rPr>
          <w:rFonts w:ascii="Verdana" w:hAnsi="Verdana"/>
          <w:sz w:val="19"/>
          <w:szCs w:val="19"/>
          <w:lang w:val="fr-CA"/>
        </w:rPr>
        <w:t>Ce type de constatation sera appliqué lorsque, par exemple, l’</w:t>
      </w:r>
      <w:r w:rsidRPr="00616F2E">
        <w:rPr>
          <w:rFonts w:ascii="Verdana" w:hAnsi="Verdana"/>
          <w:sz w:val="19"/>
          <w:szCs w:val="19"/>
          <w:lang w:val="fr-CA"/>
        </w:rPr>
        <w:t xml:space="preserve">information </w:t>
      </w:r>
      <w:r w:rsidR="006D45BD">
        <w:rPr>
          <w:rFonts w:ascii="Verdana" w:hAnsi="Verdana"/>
          <w:sz w:val="19"/>
          <w:szCs w:val="19"/>
          <w:lang w:val="fr-CA"/>
        </w:rPr>
        <w:t>requise</w:t>
      </w:r>
      <w:r w:rsidR="00A819AB">
        <w:rPr>
          <w:rFonts w:ascii="Verdana" w:hAnsi="Verdana"/>
          <w:sz w:val="19"/>
          <w:szCs w:val="19"/>
          <w:lang w:val="fr-CA"/>
        </w:rPr>
        <w:t xml:space="preserve"> </w:t>
      </w:r>
      <w:r w:rsidR="002C3499">
        <w:rPr>
          <w:rFonts w:ascii="Verdana" w:hAnsi="Verdana"/>
          <w:sz w:val="19"/>
          <w:szCs w:val="19"/>
          <w:lang w:val="fr-CA"/>
        </w:rPr>
        <w:t>pour</w:t>
      </w:r>
      <w:r w:rsidR="00A819AB">
        <w:rPr>
          <w:rFonts w:ascii="Verdana" w:hAnsi="Verdana"/>
          <w:sz w:val="19"/>
          <w:szCs w:val="19"/>
          <w:lang w:val="fr-CA"/>
        </w:rPr>
        <w:t xml:space="preserve"> déterminer la conformité ne peut être fournie</w:t>
      </w:r>
      <w:r w:rsidRPr="00616F2E">
        <w:rPr>
          <w:rFonts w:ascii="Verdana" w:hAnsi="Verdana"/>
          <w:sz w:val="19"/>
          <w:szCs w:val="19"/>
          <w:lang w:val="fr-CA"/>
        </w:rPr>
        <w:t>,</w:t>
      </w:r>
      <w:r w:rsidR="007F2756">
        <w:rPr>
          <w:rFonts w:ascii="Verdana" w:hAnsi="Verdana"/>
          <w:sz w:val="19"/>
          <w:szCs w:val="19"/>
          <w:lang w:val="fr-CA"/>
        </w:rPr>
        <w:t xml:space="preserve"> ce qui a déjà donné lieu à un avis de </w:t>
      </w:r>
      <w:r w:rsidR="00FB76F6">
        <w:rPr>
          <w:rFonts w:ascii="Verdana" w:hAnsi="Verdana"/>
          <w:sz w:val="19"/>
          <w:szCs w:val="19"/>
          <w:lang w:val="fr-CA"/>
        </w:rPr>
        <w:t xml:space="preserve">             </w:t>
      </w:r>
      <w:r w:rsidR="007F2756">
        <w:rPr>
          <w:rFonts w:ascii="Verdana" w:hAnsi="Verdana"/>
          <w:sz w:val="19"/>
          <w:szCs w:val="19"/>
          <w:lang w:val="fr-CA"/>
        </w:rPr>
        <w:t xml:space="preserve">non-conformité majeure à un élément connexe. </w:t>
      </w:r>
      <w:r w:rsidRPr="00616F2E">
        <w:rPr>
          <w:rFonts w:ascii="Verdana" w:hAnsi="Verdana"/>
          <w:sz w:val="19"/>
          <w:szCs w:val="19"/>
          <w:lang w:val="fr-CA"/>
        </w:rPr>
        <w:t xml:space="preserve"> </w:t>
      </w:r>
    </w:p>
    <w:p w:rsidR="007D5B76" w:rsidRPr="007D5B76" w:rsidRDefault="006D45BD" w:rsidP="007D5B76">
      <w:pPr>
        <w:pStyle w:val="Heading2"/>
        <w:rPr>
          <w:sz w:val="27"/>
          <w:szCs w:val="27"/>
          <w:lang w:val="fr-CA"/>
        </w:rPr>
      </w:pPr>
      <w:r>
        <w:rPr>
          <w:sz w:val="27"/>
          <w:szCs w:val="27"/>
          <w:lang w:val="fr-CA"/>
        </w:rPr>
        <w:t>Non-respect</w:t>
      </w:r>
      <w:r w:rsidR="007D5B76" w:rsidRPr="007D5B76">
        <w:rPr>
          <w:sz w:val="27"/>
          <w:szCs w:val="27"/>
          <w:lang w:val="fr-CA"/>
        </w:rPr>
        <w:t xml:space="preserve"> du Cadre d’évaluation</w:t>
      </w:r>
    </w:p>
    <w:p w:rsidR="00B14786" w:rsidRPr="00605C7B" w:rsidRDefault="00257BA0" w:rsidP="00B14786">
      <w:pPr>
        <w:pStyle w:val="NormalWeb"/>
        <w:shd w:val="clear" w:color="auto" w:fill="FFFFFF"/>
        <w:rPr>
          <w:sz w:val="19"/>
          <w:szCs w:val="19"/>
          <w:lang w:val="fr-CA"/>
        </w:rPr>
      </w:pPr>
      <w:r w:rsidRPr="00605C7B">
        <w:rPr>
          <w:sz w:val="19"/>
          <w:szCs w:val="19"/>
          <w:lang w:val="fr-FR"/>
        </w:rPr>
        <w:t>Si l</w:t>
      </w:r>
      <w:r w:rsidR="00B14786" w:rsidRPr="00605C7B">
        <w:rPr>
          <w:sz w:val="19"/>
          <w:szCs w:val="19"/>
          <w:lang w:val="fr-FR"/>
        </w:rPr>
        <w:t>es exigences en matière d'évaluation</w:t>
      </w:r>
      <w:r w:rsidRPr="00605C7B">
        <w:rPr>
          <w:sz w:val="19"/>
          <w:szCs w:val="19"/>
          <w:lang w:val="fr-FR"/>
        </w:rPr>
        <w:t xml:space="preserve"> ne sont pas respectées dans les délais prescrits par le représentant </w:t>
      </w:r>
      <w:r w:rsidR="00B14786" w:rsidRPr="00605C7B">
        <w:rPr>
          <w:sz w:val="19"/>
          <w:szCs w:val="19"/>
          <w:lang w:val="fr-FR"/>
        </w:rPr>
        <w:t xml:space="preserve">de la Division des services en ligne (DSL) de TPSGC, </w:t>
      </w:r>
      <w:r w:rsidRPr="00605C7B">
        <w:rPr>
          <w:sz w:val="19"/>
          <w:szCs w:val="19"/>
          <w:lang w:val="fr-FR"/>
        </w:rPr>
        <w:t xml:space="preserve">il sera recommandé au responsable de l’offre à commandes ou de l’arrangement en matière d’approvisionnement portant sur les SAT de désactiver le compte de SAT de l’utilisateur désigné, et TPSGC ajoutera une mention à cet égard dans le rapport final. </w:t>
      </w:r>
      <w:r w:rsidRPr="00605C7B">
        <w:rPr>
          <w:sz w:val="19"/>
          <w:szCs w:val="19"/>
          <w:lang w:val="fr-CA"/>
        </w:rPr>
        <w:t xml:space="preserve">Le compte de SAT de l’utilisateur désigné restera désactivé </w:t>
      </w:r>
      <w:r w:rsidR="00406019" w:rsidRPr="00605C7B">
        <w:rPr>
          <w:sz w:val="19"/>
          <w:szCs w:val="19"/>
          <w:lang w:val="fr-CA"/>
        </w:rPr>
        <w:t xml:space="preserve">tant qu’on </w:t>
      </w:r>
      <w:r w:rsidR="006D45BD" w:rsidRPr="00605C7B">
        <w:rPr>
          <w:sz w:val="19"/>
          <w:szCs w:val="19"/>
          <w:lang w:val="fr-CA"/>
        </w:rPr>
        <w:t>n’a</w:t>
      </w:r>
      <w:r w:rsidR="00CA4FB7" w:rsidRPr="00605C7B">
        <w:rPr>
          <w:sz w:val="19"/>
          <w:szCs w:val="19"/>
          <w:lang w:val="fr-CA"/>
        </w:rPr>
        <w:t>ura</w:t>
      </w:r>
      <w:r w:rsidR="00406019" w:rsidRPr="00605C7B">
        <w:rPr>
          <w:sz w:val="19"/>
          <w:szCs w:val="19"/>
          <w:lang w:val="fr-CA"/>
        </w:rPr>
        <w:t xml:space="preserve"> pas reçu la confirmation que les exigences en matière d’évaluation sont respectées. </w:t>
      </w:r>
      <w:r w:rsidR="00B14786" w:rsidRPr="00605C7B">
        <w:rPr>
          <w:sz w:val="19"/>
          <w:szCs w:val="19"/>
          <w:lang w:val="fr-FR"/>
        </w:rPr>
        <w:t xml:space="preserve">Veuillez </w:t>
      </w:r>
      <w:r w:rsidR="00406019" w:rsidRPr="00605C7B">
        <w:rPr>
          <w:sz w:val="19"/>
          <w:szCs w:val="19"/>
          <w:lang w:val="fr-FR"/>
        </w:rPr>
        <w:t>consulter</w:t>
      </w:r>
      <w:r w:rsidR="00B14786" w:rsidRPr="00605C7B">
        <w:rPr>
          <w:sz w:val="19"/>
          <w:szCs w:val="19"/>
          <w:lang w:val="fr-FR"/>
        </w:rPr>
        <w:t xml:space="preserve"> la section intitulée </w:t>
      </w:r>
      <w:r w:rsidR="006D45BD" w:rsidRPr="00605C7B">
        <w:rPr>
          <w:sz w:val="19"/>
          <w:szCs w:val="19"/>
          <w:lang w:val="fr-FR"/>
        </w:rPr>
        <w:t>« </w:t>
      </w:r>
      <w:r w:rsidR="00406019" w:rsidRPr="00605C7B">
        <w:rPr>
          <w:sz w:val="19"/>
          <w:szCs w:val="19"/>
          <w:lang w:val="fr-FR"/>
        </w:rPr>
        <w:t>Rétablissement d’un compte désactivé</w:t>
      </w:r>
      <w:r w:rsidR="006D45BD" w:rsidRPr="00605C7B">
        <w:rPr>
          <w:sz w:val="19"/>
          <w:szCs w:val="19"/>
          <w:lang w:val="fr-FR"/>
        </w:rPr>
        <w:t> »</w:t>
      </w:r>
      <w:r w:rsidR="00B14786" w:rsidRPr="00605C7B">
        <w:rPr>
          <w:sz w:val="19"/>
          <w:szCs w:val="19"/>
          <w:lang w:val="fr-FR"/>
        </w:rPr>
        <w:t>.</w:t>
      </w:r>
      <w:r w:rsidR="00B14786" w:rsidRPr="00605C7B">
        <w:rPr>
          <w:sz w:val="19"/>
          <w:szCs w:val="19"/>
          <w:lang w:val="fr-CA"/>
        </w:rPr>
        <w:t xml:space="preserve">  </w:t>
      </w:r>
    </w:p>
    <w:p w:rsidR="007D5B76" w:rsidRPr="007D5B76" w:rsidRDefault="007D5B76" w:rsidP="007D5B76">
      <w:pPr>
        <w:pStyle w:val="Heading2"/>
        <w:rPr>
          <w:sz w:val="27"/>
          <w:szCs w:val="27"/>
          <w:lang w:val="fr-CA"/>
        </w:rPr>
      </w:pPr>
      <w:r w:rsidRPr="007D5B76">
        <w:rPr>
          <w:sz w:val="27"/>
          <w:szCs w:val="27"/>
          <w:lang w:val="fr-CA"/>
        </w:rPr>
        <w:t>Rétablissement d’un compte désactivé</w:t>
      </w:r>
    </w:p>
    <w:p w:rsidR="00B14786" w:rsidRPr="00B07FD5" w:rsidRDefault="004408A9" w:rsidP="00B14786">
      <w:pPr>
        <w:pStyle w:val="NormalWeb"/>
        <w:shd w:val="clear" w:color="auto" w:fill="FFFFFF"/>
        <w:rPr>
          <w:color w:val="000000"/>
          <w:sz w:val="19"/>
          <w:szCs w:val="19"/>
          <w:lang w:val="fr-CA"/>
        </w:rPr>
      </w:pPr>
      <w:r w:rsidRPr="00B463B2">
        <w:rPr>
          <w:sz w:val="19"/>
          <w:szCs w:val="19"/>
          <w:lang w:val="fr-FR"/>
        </w:rPr>
        <w:t>Si l’utilisateur désigné respecte l</w:t>
      </w:r>
      <w:r w:rsidR="00B14786" w:rsidRPr="00B463B2">
        <w:rPr>
          <w:sz w:val="19"/>
          <w:szCs w:val="19"/>
          <w:lang w:val="fr-FR"/>
        </w:rPr>
        <w:t>es exigences en matière d'évaluation,</w:t>
      </w:r>
      <w:r w:rsidR="00C05DC0" w:rsidRPr="00B463B2">
        <w:rPr>
          <w:sz w:val="19"/>
          <w:szCs w:val="19"/>
          <w:lang w:val="fr-FR"/>
        </w:rPr>
        <w:t xml:space="preserve"> tel que confirmé par </w:t>
      </w:r>
      <w:r w:rsidR="00B14786" w:rsidRPr="00B463B2">
        <w:rPr>
          <w:sz w:val="19"/>
          <w:szCs w:val="19"/>
          <w:lang w:val="fr-FR"/>
        </w:rPr>
        <w:t xml:space="preserve">le représentant de la DSL de TPSGC, </w:t>
      </w:r>
      <w:r w:rsidRPr="00B463B2">
        <w:rPr>
          <w:sz w:val="19"/>
          <w:szCs w:val="19"/>
          <w:lang w:val="fr-FR"/>
        </w:rPr>
        <w:t>il sera recommandé au responsable de l’offre à commandes ou de l’arrangement en matière d’approvisionnement portant sur les SAT de réactiver le compte de SAT de l’utilisateur désigné</w:t>
      </w:r>
      <w:r w:rsidR="00B14786" w:rsidRPr="00B463B2">
        <w:rPr>
          <w:sz w:val="19"/>
          <w:szCs w:val="19"/>
          <w:lang w:val="fr-FR"/>
        </w:rPr>
        <w:t>.</w:t>
      </w:r>
      <w:r w:rsidR="00B14786" w:rsidRPr="005D5D4A">
        <w:rPr>
          <w:color w:val="000000"/>
          <w:sz w:val="19"/>
          <w:szCs w:val="19"/>
          <w:lang w:val="fr-CA"/>
        </w:rPr>
        <w:t xml:space="preserve"> </w:t>
      </w:r>
      <w:r w:rsidR="004112DC">
        <w:rPr>
          <w:color w:val="000000"/>
          <w:sz w:val="19"/>
          <w:szCs w:val="19"/>
          <w:lang w:val="fr-CA"/>
        </w:rPr>
        <w:t>La réacti</w:t>
      </w:r>
      <w:r w:rsidR="00CA4FB7">
        <w:rPr>
          <w:color w:val="000000"/>
          <w:sz w:val="19"/>
          <w:szCs w:val="19"/>
          <w:lang w:val="fr-CA"/>
        </w:rPr>
        <w:t>vati</w:t>
      </w:r>
      <w:r w:rsidR="004112DC">
        <w:rPr>
          <w:color w:val="000000"/>
          <w:sz w:val="19"/>
          <w:szCs w:val="19"/>
          <w:lang w:val="fr-CA"/>
        </w:rPr>
        <w:t xml:space="preserve">on du compte de SAT de l’utilisateur désigné se fera à la seule discrétion du responsable de l’offre à commandes ou de l’arrangement en matière d’approvisionnement portant sur les SAT. </w:t>
      </w:r>
      <w:r w:rsidR="00B14786" w:rsidRPr="005D5D4A">
        <w:rPr>
          <w:color w:val="000000"/>
          <w:sz w:val="19"/>
          <w:szCs w:val="19"/>
          <w:lang w:val="fr-CA"/>
        </w:rPr>
        <w:t xml:space="preserve"> </w:t>
      </w:r>
    </w:p>
    <w:p w:rsidR="007D5B76" w:rsidRPr="007D5B76" w:rsidRDefault="007D5B76" w:rsidP="007D5B76">
      <w:pPr>
        <w:pStyle w:val="Heading2"/>
        <w:rPr>
          <w:sz w:val="27"/>
          <w:szCs w:val="27"/>
          <w:lang w:val="fr-CA"/>
        </w:rPr>
      </w:pPr>
      <w:r w:rsidRPr="007D5B76">
        <w:rPr>
          <w:sz w:val="27"/>
          <w:szCs w:val="27"/>
          <w:lang w:val="fr-CA"/>
        </w:rPr>
        <w:t>Processus d’appel – Constatations de l’évaluation</w:t>
      </w:r>
    </w:p>
    <w:p w:rsidR="00B14786" w:rsidRPr="00F1404F" w:rsidRDefault="00B14786" w:rsidP="00B14786">
      <w:pPr>
        <w:pStyle w:val="NormalWeb"/>
        <w:shd w:val="clear" w:color="auto" w:fill="FFFFFF"/>
        <w:rPr>
          <w:sz w:val="19"/>
          <w:szCs w:val="19"/>
          <w:lang w:val="fr-CA"/>
        </w:rPr>
      </w:pPr>
      <w:r w:rsidRPr="00F1404F">
        <w:rPr>
          <w:sz w:val="19"/>
          <w:szCs w:val="19"/>
          <w:lang w:val="fr-FR"/>
        </w:rPr>
        <w:t xml:space="preserve">Le gestionnaire de l'utilisateur </w:t>
      </w:r>
      <w:r w:rsidR="000D74FE" w:rsidRPr="00F1404F">
        <w:rPr>
          <w:sz w:val="19"/>
          <w:szCs w:val="19"/>
          <w:lang w:val="fr-FR"/>
        </w:rPr>
        <w:t>désigné qui a été évalué</w:t>
      </w:r>
      <w:r w:rsidRPr="00F1404F">
        <w:rPr>
          <w:sz w:val="19"/>
          <w:szCs w:val="19"/>
          <w:lang w:val="fr-FR"/>
        </w:rPr>
        <w:t xml:space="preserve"> peut en appeler des constatations de l'évaluation.</w:t>
      </w:r>
      <w:r w:rsidRPr="00F1404F">
        <w:rPr>
          <w:sz w:val="19"/>
          <w:szCs w:val="19"/>
          <w:lang w:val="fr-CA"/>
        </w:rPr>
        <w:t xml:space="preserve"> </w:t>
      </w:r>
      <w:r w:rsidRPr="00F1404F">
        <w:rPr>
          <w:sz w:val="19"/>
          <w:szCs w:val="19"/>
          <w:lang w:val="fr-FR"/>
        </w:rPr>
        <w:t>Il doit déposer un appel par écrit, et y inclure les motifs justifiant cet appel, ainsi que toute preuve appuyant cet appel.</w:t>
      </w:r>
      <w:r w:rsidRPr="00F1404F">
        <w:rPr>
          <w:sz w:val="19"/>
          <w:szCs w:val="19"/>
          <w:lang w:val="fr-CA"/>
        </w:rPr>
        <w:t xml:space="preserve"> </w:t>
      </w:r>
      <w:r w:rsidRPr="00F1404F">
        <w:rPr>
          <w:sz w:val="19"/>
          <w:szCs w:val="19"/>
          <w:lang w:val="fr-FR"/>
        </w:rPr>
        <w:t xml:space="preserve">Pour être jugé recevable, l'appel doit être fait dans les </w:t>
      </w:r>
      <w:r w:rsidR="003C2E99" w:rsidRPr="00F1404F">
        <w:rPr>
          <w:sz w:val="19"/>
          <w:szCs w:val="19"/>
          <w:lang w:val="fr-FR"/>
        </w:rPr>
        <w:t xml:space="preserve">            </w:t>
      </w:r>
      <w:r w:rsidRPr="00F1404F">
        <w:rPr>
          <w:sz w:val="19"/>
          <w:szCs w:val="19"/>
          <w:lang w:val="fr-FR"/>
        </w:rPr>
        <w:t>60 jours suivant la date de la</w:t>
      </w:r>
      <w:r w:rsidR="003C2E99" w:rsidRPr="00F1404F">
        <w:rPr>
          <w:sz w:val="19"/>
          <w:szCs w:val="19"/>
          <w:lang w:val="fr-FR"/>
        </w:rPr>
        <w:t xml:space="preserve"> réception des constatations de l’évaluation. </w:t>
      </w:r>
    </w:p>
    <w:p w:rsidR="00B14786" w:rsidRPr="00F1404F" w:rsidRDefault="00B14786" w:rsidP="00B14786">
      <w:pPr>
        <w:pStyle w:val="NormalWeb"/>
        <w:rPr>
          <w:sz w:val="19"/>
          <w:szCs w:val="19"/>
          <w:lang w:val="fr-CA"/>
        </w:rPr>
      </w:pPr>
      <w:r w:rsidRPr="00F1404F">
        <w:rPr>
          <w:sz w:val="19"/>
          <w:szCs w:val="19"/>
          <w:lang w:val="fr-FR"/>
        </w:rPr>
        <w:t>Le gestionnaire</w:t>
      </w:r>
      <w:r w:rsidR="002E0E3A" w:rsidRPr="00F1404F">
        <w:rPr>
          <w:sz w:val="19"/>
          <w:szCs w:val="19"/>
          <w:lang w:val="fr-FR"/>
        </w:rPr>
        <w:t xml:space="preserve"> de la Division des services en ligne (DSL)</w:t>
      </w:r>
      <w:r w:rsidRPr="00F1404F">
        <w:rPr>
          <w:sz w:val="19"/>
          <w:szCs w:val="19"/>
          <w:lang w:val="fr-FR"/>
        </w:rPr>
        <w:t xml:space="preserve"> examinera les renseignements reçus et, s'il y a lieu, fera une enquête relativement à la plainte.</w:t>
      </w:r>
      <w:r w:rsidRPr="00F1404F">
        <w:rPr>
          <w:sz w:val="19"/>
          <w:szCs w:val="19"/>
          <w:lang w:val="fr-CA"/>
        </w:rPr>
        <w:t xml:space="preserve"> </w:t>
      </w:r>
      <w:r w:rsidRPr="00F1404F">
        <w:rPr>
          <w:sz w:val="19"/>
          <w:szCs w:val="19"/>
          <w:lang w:val="fr-FR"/>
        </w:rPr>
        <w:t>Le gestionnaire</w:t>
      </w:r>
      <w:r w:rsidR="00A469C5" w:rsidRPr="00F1404F">
        <w:rPr>
          <w:sz w:val="19"/>
          <w:szCs w:val="19"/>
          <w:lang w:val="fr-FR"/>
        </w:rPr>
        <w:t xml:space="preserve"> de la DSL</w:t>
      </w:r>
      <w:r w:rsidRPr="00F1404F">
        <w:rPr>
          <w:sz w:val="19"/>
          <w:szCs w:val="19"/>
          <w:lang w:val="fr-FR"/>
        </w:rPr>
        <w:t xml:space="preserve"> peut effectuer l'enquête ou en charger le chef d'équipe</w:t>
      </w:r>
      <w:r w:rsidR="00A469C5" w:rsidRPr="00F1404F">
        <w:rPr>
          <w:sz w:val="19"/>
          <w:szCs w:val="19"/>
          <w:lang w:val="fr-FR"/>
        </w:rPr>
        <w:t xml:space="preserve"> de la DSL</w:t>
      </w:r>
      <w:r w:rsidRPr="00F1404F">
        <w:rPr>
          <w:sz w:val="19"/>
          <w:szCs w:val="19"/>
          <w:lang w:val="fr-FR"/>
        </w:rPr>
        <w:t xml:space="preserve">, l'équipe d'évaluation, la DSL ou un </w:t>
      </w:r>
      <w:r w:rsidRPr="00F1404F">
        <w:rPr>
          <w:sz w:val="19"/>
          <w:szCs w:val="19"/>
          <w:lang w:val="fr-FR"/>
        </w:rPr>
        <w:lastRenderedPageBreak/>
        <w:t>autre agent de la DSL qui n'est pas responsable de l'évaluation initiale.</w:t>
      </w:r>
      <w:r w:rsidRPr="00F1404F">
        <w:rPr>
          <w:sz w:val="19"/>
          <w:szCs w:val="19"/>
          <w:lang w:val="fr-CA"/>
        </w:rPr>
        <w:t xml:space="preserve"> </w:t>
      </w:r>
      <w:r w:rsidRPr="00F1404F">
        <w:rPr>
          <w:sz w:val="19"/>
          <w:szCs w:val="19"/>
          <w:lang w:val="fr-FR"/>
        </w:rPr>
        <w:t xml:space="preserve">Le gestionnaire </w:t>
      </w:r>
      <w:r w:rsidR="00A469C5" w:rsidRPr="00F1404F">
        <w:rPr>
          <w:sz w:val="19"/>
          <w:szCs w:val="19"/>
          <w:lang w:val="fr-FR"/>
        </w:rPr>
        <w:t xml:space="preserve">de la DSL </w:t>
      </w:r>
      <w:r w:rsidRPr="00F1404F">
        <w:rPr>
          <w:sz w:val="19"/>
          <w:szCs w:val="19"/>
          <w:lang w:val="fr-FR"/>
        </w:rPr>
        <w:t>informera l'appelant, par écrit, de la décision dans les 30 jours suivant la réception de la plainte.</w:t>
      </w:r>
    </w:p>
    <w:p w:rsidR="00B14786" w:rsidRPr="007329B4" w:rsidRDefault="00B14786" w:rsidP="00B14786">
      <w:pPr>
        <w:pStyle w:val="Heading2"/>
        <w:rPr>
          <w:sz w:val="27"/>
          <w:szCs w:val="27"/>
          <w:lang w:val="fr-CA"/>
        </w:rPr>
      </w:pPr>
      <w:r w:rsidRPr="007329B4">
        <w:rPr>
          <w:sz w:val="27"/>
          <w:szCs w:val="27"/>
          <w:lang w:val="fr-CA"/>
        </w:rPr>
        <w:t>Process</w:t>
      </w:r>
      <w:r w:rsidR="007329B4" w:rsidRPr="007329B4">
        <w:rPr>
          <w:sz w:val="27"/>
          <w:szCs w:val="27"/>
          <w:lang w:val="fr-CA"/>
        </w:rPr>
        <w:t>us d’appel</w:t>
      </w:r>
      <w:r w:rsidRPr="007329B4">
        <w:rPr>
          <w:sz w:val="27"/>
          <w:szCs w:val="27"/>
          <w:lang w:val="fr-CA"/>
        </w:rPr>
        <w:t xml:space="preserve"> – </w:t>
      </w:r>
      <w:r w:rsidR="007329B4" w:rsidRPr="007329B4">
        <w:rPr>
          <w:sz w:val="27"/>
          <w:szCs w:val="27"/>
          <w:lang w:val="fr-CA"/>
        </w:rPr>
        <w:t>Dé</w:t>
      </w:r>
      <w:r w:rsidR="007329B4">
        <w:rPr>
          <w:sz w:val="27"/>
          <w:szCs w:val="27"/>
          <w:lang w:val="fr-CA"/>
        </w:rPr>
        <w:t>sactivation du compte de l’utilisateur désigné</w:t>
      </w:r>
    </w:p>
    <w:p w:rsidR="00B14786" w:rsidRPr="00B07FD5" w:rsidRDefault="00B14786" w:rsidP="00B14786">
      <w:pPr>
        <w:pStyle w:val="NormalWeb"/>
        <w:rPr>
          <w:sz w:val="19"/>
          <w:szCs w:val="19"/>
          <w:lang w:val="fr-CA"/>
        </w:rPr>
      </w:pPr>
      <w:r w:rsidRPr="00D8543F">
        <w:rPr>
          <w:sz w:val="19"/>
          <w:szCs w:val="19"/>
          <w:lang w:val="fr-FR"/>
        </w:rPr>
        <w:t xml:space="preserve">Le gestionnaire de l'utilisateur </w:t>
      </w:r>
      <w:r w:rsidR="00273131" w:rsidRPr="00D8543F">
        <w:rPr>
          <w:sz w:val="19"/>
          <w:szCs w:val="19"/>
          <w:lang w:val="fr-FR"/>
        </w:rPr>
        <w:t>désigné dont le compte de SAT a été désactivé</w:t>
      </w:r>
      <w:r w:rsidRPr="00D8543F">
        <w:rPr>
          <w:sz w:val="19"/>
          <w:szCs w:val="19"/>
          <w:lang w:val="fr-FR"/>
        </w:rPr>
        <w:t xml:space="preserve"> peut en appeler de</w:t>
      </w:r>
      <w:r w:rsidR="00273131" w:rsidRPr="00D8543F">
        <w:rPr>
          <w:sz w:val="19"/>
          <w:szCs w:val="19"/>
          <w:lang w:val="fr-FR"/>
        </w:rPr>
        <w:t xml:space="preserve"> la désactivation, par écrit, au</w:t>
      </w:r>
      <w:r w:rsidR="0097069A" w:rsidRPr="00D8543F">
        <w:rPr>
          <w:sz w:val="19"/>
          <w:szCs w:val="19"/>
          <w:lang w:val="fr-FR"/>
        </w:rPr>
        <w:t>près du</w:t>
      </w:r>
      <w:r w:rsidR="00273131" w:rsidRPr="00D8543F">
        <w:rPr>
          <w:sz w:val="19"/>
          <w:szCs w:val="19"/>
          <w:lang w:val="fr-FR"/>
        </w:rPr>
        <w:t xml:space="preserve"> gestionnaire de la Division des s</w:t>
      </w:r>
      <w:r w:rsidR="009D45AD" w:rsidRPr="00D8543F">
        <w:rPr>
          <w:sz w:val="19"/>
          <w:szCs w:val="19"/>
          <w:lang w:val="fr-FR"/>
        </w:rPr>
        <w:t xml:space="preserve">tratégies </w:t>
      </w:r>
      <w:r w:rsidR="0097069A" w:rsidRPr="00D8543F">
        <w:rPr>
          <w:sz w:val="19"/>
          <w:szCs w:val="19"/>
          <w:lang w:val="fr-FR"/>
        </w:rPr>
        <w:t xml:space="preserve">                 </w:t>
      </w:r>
      <w:r w:rsidR="009D45AD" w:rsidRPr="00D8543F">
        <w:rPr>
          <w:sz w:val="19"/>
          <w:szCs w:val="19"/>
          <w:lang w:val="fr-FR"/>
        </w:rPr>
        <w:t>d’acquisition (DSA).</w:t>
      </w:r>
      <w:r w:rsidRPr="00B07FD5">
        <w:rPr>
          <w:sz w:val="19"/>
          <w:szCs w:val="19"/>
          <w:lang w:val="fr-CA"/>
        </w:rPr>
        <w:t xml:space="preserve"> </w:t>
      </w:r>
      <w:r w:rsidRPr="00D8543F">
        <w:rPr>
          <w:sz w:val="19"/>
          <w:szCs w:val="19"/>
          <w:lang w:val="fr-FR"/>
        </w:rPr>
        <w:t>Il doit déposer un appel par écrit, et y inclure les motifs justifiant cet appel, ainsi que toute preuve appuyant cet appel.</w:t>
      </w:r>
    </w:p>
    <w:p w:rsidR="00B14786" w:rsidRPr="00B07FD5" w:rsidRDefault="00B14786" w:rsidP="00B14786">
      <w:pPr>
        <w:pStyle w:val="NormalWeb"/>
        <w:rPr>
          <w:lang w:val="fr-CA"/>
        </w:rPr>
      </w:pPr>
      <w:r w:rsidRPr="00D8543F">
        <w:rPr>
          <w:sz w:val="19"/>
          <w:szCs w:val="19"/>
          <w:lang w:val="fr-FR"/>
        </w:rPr>
        <w:t>Le gestionnaire</w:t>
      </w:r>
      <w:r w:rsidR="00D0231C" w:rsidRPr="00D8543F">
        <w:rPr>
          <w:sz w:val="19"/>
          <w:szCs w:val="19"/>
          <w:lang w:val="fr-FR"/>
        </w:rPr>
        <w:t xml:space="preserve"> de la Division des s</w:t>
      </w:r>
      <w:r w:rsidR="009D45AD" w:rsidRPr="00D8543F">
        <w:rPr>
          <w:sz w:val="19"/>
          <w:szCs w:val="19"/>
          <w:lang w:val="fr-FR"/>
        </w:rPr>
        <w:t>tratégies d’acquisition</w:t>
      </w:r>
      <w:r w:rsidR="00D0231C" w:rsidRPr="00D8543F">
        <w:rPr>
          <w:sz w:val="19"/>
          <w:szCs w:val="19"/>
          <w:lang w:val="fr-FR"/>
        </w:rPr>
        <w:t xml:space="preserve"> (DS</w:t>
      </w:r>
      <w:r w:rsidR="009D45AD" w:rsidRPr="00D8543F">
        <w:rPr>
          <w:sz w:val="19"/>
          <w:szCs w:val="19"/>
          <w:lang w:val="fr-FR"/>
        </w:rPr>
        <w:t>A</w:t>
      </w:r>
      <w:r w:rsidR="00D0231C" w:rsidRPr="00D8543F">
        <w:rPr>
          <w:sz w:val="19"/>
          <w:szCs w:val="19"/>
          <w:lang w:val="fr-FR"/>
        </w:rPr>
        <w:t>)</w:t>
      </w:r>
      <w:r w:rsidRPr="00D8543F">
        <w:rPr>
          <w:sz w:val="19"/>
          <w:szCs w:val="19"/>
          <w:lang w:val="fr-FR"/>
        </w:rPr>
        <w:t xml:space="preserve"> examinera les renseignements reçus et, s'il y a lieu, fera une enquête.</w:t>
      </w:r>
      <w:r w:rsidRPr="00B07FD5">
        <w:rPr>
          <w:sz w:val="19"/>
          <w:szCs w:val="19"/>
          <w:lang w:val="fr-CA"/>
        </w:rPr>
        <w:t xml:space="preserve"> </w:t>
      </w:r>
      <w:r w:rsidRPr="00D8543F">
        <w:rPr>
          <w:sz w:val="19"/>
          <w:szCs w:val="19"/>
          <w:lang w:val="fr-FR"/>
        </w:rPr>
        <w:t xml:space="preserve">Le gestionnaire </w:t>
      </w:r>
      <w:r w:rsidR="009D45AD" w:rsidRPr="00D8543F">
        <w:rPr>
          <w:sz w:val="19"/>
          <w:szCs w:val="19"/>
          <w:lang w:val="fr-FR"/>
        </w:rPr>
        <w:t xml:space="preserve">de la DSA </w:t>
      </w:r>
      <w:r w:rsidRPr="00D8543F">
        <w:rPr>
          <w:sz w:val="19"/>
          <w:szCs w:val="19"/>
          <w:lang w:val="fr-FR"/>
        </w:rPr>
        <w:t>peut effectuer l'enquête ou en charger le</w:t>
      </w:r>
      <w:r w:rsidR="009D45AD" w:rsidRPr="00D8543F">
        <w:rPr>
          <w:sz w:val="19"/>
          <w:szCs w:val="19"/>
          <w:lang w:val="fr-FR"/>
        </w:rPr>
        <w:t xml:space="preserve"> responsable de l’offre à commandes ou de l’arrangement en matière d’approvisionnement portant sur les SAT de la DSA</w:t>
      </w:r>
      <w:r w:rsidRPr="00D8543F">
        <w:rPr>
          <w:sz w:val="19"/>
          <w:szCs w:val="19"/>
          <w:lang w:val="fr-FR"/>
        </w:rPr>
        <w:t>.</w:t>
      </w:r>
      <w:r w:rsidRPr="00B07FD5">
        <w:rPr>
          <w:sz w:val="19"/>
          <w:szCs w:val="19"/>
          <w:lang w:val="fr-CA"/>
        </w:rPr>
        <w:t xml:space="preserve"> </w:t>
      </w:r>
      <w:r w:rsidRPr="00D8543F">
        <w:rPr>
          <w:sz w:val="19"/>
          <w:szCs w:val="19"/>
          <w:lang w:val="fr-FR"/>
        </w:rPr>
        <w:t xml:space="preserve">Le gestionnaire </w:t>
      </w:r>
      <w:r w:rsidR="009D45AD" w:rsidRPr="00D8543F">
        <w:rPr>
          <w:sz w:val="19"/>
          <w:szCs w:val="19"/>
          <w:lang w:val="fr-FR"/>
        </w:rPr>
        <w:t xml:space="preserve">de la DSA </w:t>
      </w:r>
      <w:r w:rsidRPr="00D8543F">
        <w:rPr>
          <w:sz w:val="19"/>
          <w:szCs w:val="19"/>
          <w:lang w:val="fr-FR"/>
        </w:rPr>
        <w:t>informera l'appelant, par écrit, de la décision dans les 30 jours suivant la réception de la plainte.</w:t>
      </w:r>
    </w:p>
    <w:p w:rsidR="00B14786" w:rsidRPr="00B07FD5" w:rsidRDefault="00B14786" w:rsidP="00B14786">
      <w:pPr>
        <w:pStyle w:val="NormalWeb"/>
        <w:rPr>
          <w:lang w:val="fr-CA"/>
        </w:rPr>
      </w:pPr>
    </w:p>
    <w:p w:rsidR="00C01CCA" w:rsidRPr="00C11D27" w:rsidRDefault="00C01CCA" w:rsidP="00B14786">
      <w:pPr>
        <w:pStyle w:val="NormalWeb"/>
        <w:shd w:val="clear" w:color="auto" w:fill="FFFFFF"/>
        <w:rPr>
          <w:lang w:val="fr-CA"/>
        </w:rPr>
      </w:pPr>
    </w:p>
    <w:sectPr w:rsidR="00C01CCA" w:rsidRPr="00C11D27" w:rsidSect="008A0B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BF2" w:rsidRDefault="00745BF2" w:rsidP="00C01CCA">
      <w:r>
        <w:separator/>
      </w:r>
    </w:p>
  </w:endnote>
  <w:endnote w:type="continuationSeparator" w:id="0">
    <w:p w:rsidR="00745BF2" w:rsidRDefault="00745BF2" w:rsidP="00C01C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3F" w:rsidRDefault="00D854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3F" w:rsidRDefault="00D854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3F" w:rsidRDefault="00D85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BF2" w:rsidRDefault="00745BF2" w:rsidP="00C01CCA">
      <w:r>
        <w:separator/>
      </w:r>
    </w:p>
  </w:footnote>
  <w:footnote w:type="continuationSeparator" w:id="0">
    <w:p w:rsidR="00745BF2" w:rsidRDefault="00745BF2" w:rsidP="00C01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3F" w:rsidRDefault="00D854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3F" w:rsidRDefault="00D854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3F" w:rsidRDefault="00D854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94BFC"/>
    <w:multiLevelType w:val="multilevel"/>
    <w:tmpl w:val="812A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FA49E1"/>
    <w:multiLevelType w:val="multilevel"/>
    <w:tmpl w:val="04F8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6F2A5B"/>
    <w:multiLevelType w:val="hybridMultilevel"/>
    <w:tmpl w:val="4C8605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SourceLng" w:val="eng"/>
    <w:docVar w:name="TargetLng" w:val="fre"/>
    <w:docVar w:name="TermBases" w:val="tutorial termbase"/>
    <w:docVar w:name="TermBaseURL" w:val="empty"/>
    <w:docVar w:name="TextBases" w:val="REF_TPSGC_Approvisionnements - PWGSC_Acquisitions|REF_TPSGC - PWGSC|REF_BVG - OAG|REF_Gouvernement du Canada - Government of Canada|PRO_911_EF_Approvisionnements|349-2012_EF_Travaux publics et Services gouvernementaux Canada|349-2010_EF_Travaux publics et Services gouvernementaux Canada|346_EF_Conseils et Vérification Canada|567_EF_Bureau de l'ombudsman de l'approvisionnement|386_EF_Bureau de la traduction|344_EF_Secrétariat du Conseil du Trésor du Canada"/>
    <w:docVar w:name="TextBaseURL" w:val="empty"/>
    <w:docVar w:name="UILng" w:val="en"/>
  </w:docVars>
  <w:rsids>
    <w:rsidRoot w:val="008A0B99"/>
    <w:rsid w:val="00002B3A"/>
    <w:rsid w:val="00006418"/>
    <w:rsid w:val="0002436A"/>
    <w:rsid w:val="00026EDF"/>
    <w:rsid w:val="00033791"/>
    <w:rsid w:val="00035E23"/>
    <w:rsid w:val="00053F06"/>
    <w:rsid w:val="000615A7"/>
    <w:rsid w:val="00065043"/>
    <w:rsid w:val="000668EF"/>
    <w:rsid w:val="000926EF"/>
    <w:rsid w:val="000B199F"/>
    <w:rsid w:val="000D1B32"/>
    <w:rsid w:val="000D74FE"/>
    <w:rsid w:val="001050B7"/>
    <w:rsid w:val="00116560"/>
    <w:rsid w:val="00154D8A"/>
    <w:rsid w:val="00156554"/>
    <w:rsid w:val="00162C0F"/>
    <w:rsid w:val="00163557"/>
    <w:rsid w:val="00164267"/>
    <w:rsid w:val="00177696"/>
    <w:rsid w:val="0018099E"/>
    <w:rsid w:val="001822B9"/>
    <w:rsid w:val="00184FB8"/>
    <w:rsid w:val="00193487"/>
    <w:rsid w:val="001A671F"/>
    <w:rsid w:val="001B3BE2"/>
    <w:rsid w:val="001B67EA"/>
    <w:rsid w:val="001C15EF"/>
    <w:rsid w:val="00222ADE"/>
    <w:rsid w:val="00225870"/>
    <w:rsid w:val="00230D7A"/>
    <w:rsid w:val="0025567A"/>
    <w:rsid w:val="00255F7C"/>
    <w:rsid w:val="00257BA0"/>
    <w:rsid w:val="0026773F"/>
    <w:rsid w:val="00272826"/>
    <w:rsid w:val="00273131"/>
    <w:rsid w:val="00280895"/>
    <w:rsid w:val="00282729"/>
    <w:rsid w:val="0028790B"/>
    <w:rsid w:val="00294DA2"/>
    <w:rsid w:val="002A417E"/>
    <w:rsid w:val="002A588F"/>
    <w:rsid w:val="002A61C8"/>
    <w:rsid w:val="002A682C"/>
    <w:rsid w:val="002B6073"/>
    <w:rsid w:val="002C3499"/>
    <w:rsid w:val="002C667E"/>
    <w:rsid w:val="002D2BD4"/>
    <w:rsid w:val="002E0E3A"/>
    <w:rsid w:val="002E148A"/>
    <w:rsid w:val="003147A0"/>
    <w:rsid w:val="00320F0C"/>
    <w:rsid w:val="0032550A"/>
    <w:rsid w:val="00336FB5"/>
    <w:rsid w:val="00340BEF"/>
    <w:rsid w:val="003526D1"/>
    <w:rsid w:val="00352D60"/>
    <w:rsid w:val="003576C9"/>
    <w:rsid w:val="003659A7"/>
    <w:rsid w:val="003724A0"/>
    <w:rsid w:val="00381883"/>
    <w:rsid w:val="003876D7"/>
    <w:rsid w:val="00390C24"/>
    <w:rsid w:val="0039198D"/>
    <w:rsid w:val="00395CE7"/>
    <w:rsid w:val="003C1283"/>
    <w:rsid w:val="003C1BF2"/>
    <w:rsid w:val="003C2E99"/>
    <w:rsid w:val="003D1E53"/>
    <w:rsid w:val="003D7388"/>
    <w:rsid w:val="003F148B"/>
    <w:rsid w:val="00406019"/>
    <w:rsid w:val="004112DC"/>
    <w:rsid w:val="00414E8F"/>
    <w:rsid w:val="00415F64"/>
    <w:rsid w:val="00421448"/>
    <w:rsid w:val="00433911"/>
    <w:rsid w:val="004408A9"/>
    <w:rsid w:val="0046578C"/>
    <w:rsid w:val="0047200B"/>
    <w:rsid w:val="00492315"/>
    <w:rsid w:val="004A0083"/>
    <w:rsid w:val="004A2CFC"/>
    <w:rsid w:val="004C046B"/>
    <w:rsid w:val="004D4610"/>
    <w:rsid w:val="004E107E"/>
    <w:rsid w:val="004E4261"/>
    <w:rsid w:val="00504F65"/>
    <w:rsid w:val="005207AD"/>
    <w:rsid w:val="00521D1A"/>
    <w:rsid w:val="00525E4C"/>
    <w:rsid w:val="00531FB2"/>
    <w:rsid w:val="00551EDF"/>
    <w:rsid w:val="00553099"/>
    <w:rsid w:val="00565AB9"/>
    <w:rsid w:val="00595E1A"/>
    <w:rsid w:val="005A000B"/>
    <w:rsid w:val="005D01C2"/>
    <w:rsid w:val="005D247F"/>
    <w:rsid w:val="005D6DC2"/>
    <w:rsid w:val="005E137A"/>
    <w:rsid w:val="005E7FB7"/>
    <w:rsid w:val="005F3F95"/>
    <w:rsid w:val="00603039"/>
    <w:rsid w:val="00605C7B"/>
    <w:rsid w:val="006143EB"/>
    <w:rsid w:val="00616F2E"/>
    <w:rsid w:val="0063486F"/>
    <w:rsid w:val="00637B53"/>
    <w:rsid w:val="00641FDC"/>
    <w:rsid w:val="00657849"/>
    <w:rsid w:val="00657AC6"/>
    <w:rsid w:val="00664CC5"/>
    <w:rsid w:val="006846D0"/>
    <w:rsid w:val="00693B5A"/>
    <w:rsid w:val="006A7136"/>
    <w:rsid w:val="006A78EC"/>
    <w:rsid w:val="006B2BDE"/>
    <w:rsid w:val="006B3A95"/>
    <w:rsid w:val="006D45BD"/>
    <w:rsid w:val="00702CDB"/>
    <w:rsid w:val="007100F9"/>
    <w:rsid w:val="007212F2"/>
    <w:rsid w:val="0072382D"/>
    <w:rsid w:val="00724591"/>
    <w:rsid w:val="007329B4"/>
    <w:rsid w:val="00743046"/>
    <w:rsid w:val="0074337F"/>
    <w:rsid w:val="00745BF2"/>
    <w:rsid w:val="0075465D"/>
    <w:rsid w:val="00754AA6"/>
    <w:rsid w:val="0075606F"/>
    <w:rsid w:val="007712AB"/>
    <w:rsid w:val="00777F22"/>
    <w:rsid w:val="007806A7"/>
    <w:rsid w:val="007A520B"/>
    <w:rsid w:val="007A618D"/>
    <w:rsid w:val="007D2EA6"/>
    <w:rsid w:val="007D39B1"/>
    <w:rsid w:val="007D5B76"/>
    <w:rsid w:val="007D6255"/>
    <w:rsid w:val="007E0BC4"/>
    <w:rsid w:val="007E663F"/>
    <w:rsid w:val="007F1928"/>
    <w:rsid w:val="007F2756"/>
    <w:rsid w:val="0081008F"/>
    <w:rsid w:val="00834FE4"/>
    <w:rsid w:val="00842D25"/>
    <w:rsid w:val="00854963"/>
    <w:rsid w:val="00866154"/>
    <w:rsid w:val="00886E2C"/>
    <w:rsid w:val="00897ADB"/>
    <w:rsid w:val="008A0B99"/>
    <w:rsid w:val="008A7CC5"/>
    <w:rsid w:val="008B4567"/>
    <w:rsid w:val="008B4ED4"/>
    <w:rsid w:val="008C1C63"/>
    <w:rsid w:val="008C7668"/>
    <w:rsid w:val="008E037A"/>
    <w:rsid w:val="008E6328"/>
    <w:rsid w:val="008F5045"/>
    <w:rsid w:val="008F55E1"/>
    <w:rsid w:val="0090195A"/>
    <w:rsid w:val="0091684A"/>
    <w:rsid w:val="00924BE2"/>
    <w:rsid w:val="009266EF"/>
    <w:rsid w:val="00946F64"/>
    <w:rsid w:val="0095293D"/>
    <w:rsid w:val="0097069A"/>
    <w:rsid w:val="00976BC4"/>
    <w:rsid w:val="009771E2"/>
    <w:rsid w:val="0098327F"/>
    <w:rsid w:val="00985636"/>
    <w:rsid w:val="009A64B2"/>
    <w:rsid w:val="009B6841"/>
    <w:rsid w:val="009C039E"/>
    <w:rsid w:val="009C526C"/>
    <w:rsid w:val="009C76D6"/>
    <w:rsid w:val="009D45AD"/>
    <w:rsid w:val="009D5EBB"/>
    <w:rsid w:val="009E36AC"/>
    <w:rsid w:val="009E7A2F"/>
    <w:rsid w:val="009F448F"/>
    <w:rsid w:val="009F7223"/>
    <w:rsid w:val="00A02E4F"/>
    <w:rsid w:val="00A10EC6"/>
    <w:rsid w:val="00A21211"/>
    <w:rsid w:val="00A2142C"/>
    <w:rsid w:val="00A26E99"/>
    <w:rsid w:val="00A3249B"/>
    <w:rsid w:val="00A364E0"/>
    <w:rsid w:val="00A469C5"/>
    <w:rsid w:val="00A55CD8"/>
    <w:rsid w:val="00A7149E"/>
    <w:rsid w:val="00A7152F"/>
    <w:rsid w:val="00A73AC6"/>
    <w:rsid w:val="00A75966"/>
    <w:rsid w:val="00A819AB"/>
    <w:rsid w:val="00A86201"/>
    <w:rsid w:val="00AC3367"/>
    <w:rsid w:val="00AC4BE0"/>
    <w:rsid w:val="00AE2D4D"/>
    <w:rsid w:val="00AE4340"/>
    <w:rsid w:val="00AF1FB4"/>
    <w:rsid w:val="00AF2FEB"/>
    <w:rsid w:val="00B05ECC"/>
    <w:rsid w:val="00B07FD5"/>
    <w:rsid w:val="00B14786"/>
    <w:rsid w:val="00B22E25"/>
    <w:rsid w:val="00B27113"/>
    <w:rsid w:val="00B3006D"/>
    <w:rsid w:val="00B35075"/>
    <w:rsid w:val="00B40921"/>
    <w:rsid w:val="00B4141B"/>
    <w:rsid w:val="00B41A8A"/>
    <w:rsid w:val="00B453C1"/>
    <w:rsid w:val="00B463B2"/>
    <w:rsid w:val="00B5744A"/>
    <w:rsid w:val="00B63956"/>
    <w:rsid w:val="00B83F4D"/>
    <w:rsid w:val="00BA2588"/>
    <w:rsid w:val="00BB1E96"/>
    <w:rsid w:val="00BB2139"/>
    <w:rsid w:val="00BC3415"/>
    <w:rsid w:val="00BD0CC9"/>
    <w:rsid w:val="00BD107B"/>
    <w:rsid w:val="00BD2AA8"/>
    <w:rsid w:val="00BE21A1"/>
    <w:rsid w:val="00BE5FFE"/>
    <w:rsid w:val="00BF6BD5"/>
    <w:rsid w:val="00C01CCA"/>
    <w:rsid w:val="00C057FC"/>
    <w:rsid w:val="00C05DC0"/>
    <w:rsid w:val="00C11D27"/>
    <w:rsid w:val="00C14785"/>
    <w:rsid w:val="00C205C3"/>
    <w:rsid w:val="00C246B1"/>
    <w:rsid w:val="00C2563F"/>
    <w:rsid w:val="00C3451C"/>
    <w:rsid w:val="00C35730"/>
    <w:rsid w:val="00C53983"/>
    <w:rsid w:val="00C60DBC"/>
    <w:rsid w:val="00C639B7"/>
    <w:rsid w:val="00C71CAA"/>
    <w:rsid w:val="00C82193"/>
    <w:rsid w:val="00C85B4B"/>
    <w:rsid w:val="00C95AB3"/>
    <w:rsid w:val="00CA4FB7"/>
    <w:rsid w:val="00CA7A6E"/>
    <w:rsid w:val="00CB1890"/>
    <w:rsid w:val="00CB244E"/>
    <w:rsid w:val="00CC4B62"/>
    <w:rsid w:val="00CC7968"/>
    <w:rsid w:val="00CD6802"/>
    <w:rsid w:val="00CD7EDF"/>
    <w:rsid w:val="00CE6D98"/>
    <w:rsid w:val="00CF4431"/>
    <w:rsid w:val="00D0231C"/>
    <w:rsid w:val="00D12C13"/>
    <w:rsid w:val="00D20B29"/>
    <w:rsid w:val="00D42071"/>
    <w:rsid w:val="00D45D42"/>
    <w:rsid w:val="00D47932"/>
    <w:rsid w:val="00D5036A"/>
    <w:rsid w:val="00D50CD9"/>
    <w:rsid w:val="00D60BDD"/>
    <w:rsid w:val="00D73105"/>
    <w:rsid w:val="00D80F12"/>
    <w:rsid w:val="00D81132"/>
    <w:rsid w:val="00D8543F"/>
    <w:rsid w:val="00D85A21"/>
    <w:rsid w:val="00DC6339"/>
    <w:rsid w:val="00E249B7"/>
    <w:rsid w:val="00E3213E"/>
    <w:rsid w:val="00E41466"/>
    <w:rsid w:val="00E41D49"/>
    <w:rsid w:val="00E44BC1"/>
    <w:rsid w:val="00E51EF2"/>
    <w:rsid w:val="00E538B8"/>
    <w:rsid w:val="00E5614E"/>
    <w:rsid w:val="00E61583"/>
    <w:rsid w:val="00E71AEF"/>
    <w:rsid w:val="00E7384A"/>
    <w:rsid w:val="00E76DE7"/>
    <w:rsid w:val="00E9299F"/>
    <w:rsid w:val="00E93D19"/>
    <w:rsid w:val="00E94BA6"/>
    <w:rsid w:val="00EA2829"/>
    <w:rsid w:val="00EA5713"/>
    <w:rsid w:val="00EB314F"/>
    <w:rsid w:val="00ED3454"/>
    <w:rsid w:val="00ED4769"/>
    <w:rsid w:val="00ED50E7"/>
    <w:rsid w:val="00ED5D74"/>
    <w:rsid w:val="00ED6D7F"/>
    <w:rsid w:val="00EE3CCF"/>
    <w:rsid w:val="00EE5C42"/>
    <w:rsid w:val="00EE64F8"/>
    <w:rsid w:val="00F06B58"/>
    <w:rsid w:val="00F11130"/>
    <w:rsid w:val="00F13512"/>
    <w:rsid w:val="00F1404F"/>
    <w:rsid w:val="00F71EE0"/>
    <w:rsid w:val="00F86447"/>
    <w:rsid w:val="00F96A66"/>
    <w:rsid w:val="00FA3043"/>
    <w:rsid w:val="00FA599B"/>
    <w:rsid w:val="00FB76F6"/>
    <w:rsid w:val="00FC06EA"/>
    <w:rsid w:val="00FE207A"/>
    <w:rsid w:val="00FE630E"/>
    <w:rsid w:val="00FF1181"/>
    <w:rsid w:val="00FF3D4D"/>
    <w:rsid w:val="00FF4DDF"/>
    <w:rsid w:val="00FF54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E2"/>
    <w:rPr>
      <w:sz w:val="24"/>
      <w:szCs w:val="24"/>
    </w:rPr>
  </w:style>
  <w:style w:type="paragraph" w:styleId="Heading2">
    <w:name w:val="heading 2"/>
    <w:basedOn w:val="Normal"/>
    <w:qFormat/>
    <w:rsid w:val="008A0B99"/>
    <w:pPr>
      <w:spacing w:before="100" w:beforeAutospacing="1" w:after="100" w:afterAutospacing="1"/>
      <w:outlineLvl w:val="1"/>
    </w:pPr>
    <w:rPr>
      <w:rFonts w:ascii="Verdana" w:hAnsi="Verdana"/>
      <w:b/>
      <w:bCs/>
      <w:color w:val="336699"/>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B99"/>
    <w:pPr>
      <w:spacing w:before="100" w:beforeAutospacing="1" w:after="100" w:afterAutospacing="1"/>
    </w:pPr>
    <w:rPr>
      <w:rFonts w:ascii="Verdana" w:hAnsi="Verdana"/>
    </w:rPr>
  </w:style>
  <w:style w:type="character" w:styleId="HTMLAcronym">
    <w:name w:val="HTML Acronym"/>
    <w:basedOn w:val="DefaultParagraphFont"/>
    <w:rsid w:val="008A0B99"/>
  </w:style>
  <w:style w:type="character" w:styleId="Strong">
    <w:name w:val="Strong"/>
    <w:basedOn w:val="DefaultParagraphFont"/>
    <w:qFormat/>
    <w:rsid w:val="008A0B99"/>
    <w:rPr>
      <w:b/>
      <w:bCs/>
    </w:rPr>
  </w:style>
  <w:style w:type="paragraph" w:styleId="BalloonText">
    <w:name w:val="Balloon Text"/>
    <w:basedOn w:val="Normal"/>
    <w:semiHidden/>
    <w:rsid w:val="00421448"/>
    <w:rPr>
      <w:rFonts w:ascii="Tahoma" w:hAnsi="Tahoma" w:cs="Tahoma"/>
      <w:sz w:val="16"/>
      <w:szCs w:val="16"/>
    </w:rPr>
  </w:style>
  <w:style w:type="character" w:styleId="CommentReference">
    <w:name w:val="annotation reference"/>
    <w:basedOn w:val="DefaultParagraphFont"/>
    <w:semiHidden/>
    <w:rsid w:val="003876D7"/>
    <w:rPr>
      <w:sz w:val="16"/>
      <w:szCs w:val="16"/>
    </w:rPr>
  </w:style>
  <w:style w:type="paragraph" w:styleId="CommentText">
    <w:name w:val="annotation text"/>
    <w:basedOn w:val="Normal"/>
    <w:semiHidden/>
    <w:rsid w:val="003876D7"/>
    <w:rPr>
      <w:sz w:val="20"/>
      <w:szCs w:val="20"/>
    </w:rPr>
  </w:style>
  <w:style w:type="paragraph" w:styleId="CommentSubject">
    <w:name w:val="annotation subject"/>
    <w:basedOn w:val="CommentText"/>
    <w:next w:val="CommentText"/>
    <w:semiHidden/>
    <w:rsid w:val="003876D7"/>
    <w:rPr>
      <w:b/>
      <w:bCs/>
    </w:rPr>
  </w:style>
  <w:style w:type="paragraph" w:styleId="Header">
    <w:name w:val="header"/>
    <w:basedOn w:val="Normal"/>
    <w:link w:val="HeaderChar"/>
    <w:rsid w:val="00C01CCA"/>
    <w:pPr>
      <w:tabs>
        <w:tab w:val="center" w:pos="4680"/>
        <w:tab w:val="right" w:pos="9360"/>
      </w:tabs>
    </w:pPr>
  </w:style>
  <w:style w:type="character" w:customStyle="1" w:styleId="HeaderChar">
    <w:name w:val="Header Char"/>
    <w:basedOn w:val="DefaultParagraphFont"/>
    <w:link w:val="Header"/>
    <w:rsid w:val="00C01CCA"/>
    <w:rPr>
      <w:sz w:val="24"/>
      <w:szCs w:val="24"/>
      <w:lang w:val="en-US" w:eastAsia="en-US"/>
    </w:rPr>
  </w:style>
  <w:style w:type="paragraph" w:styleId="Footer">
    <w:name w:val="footer"/>
    <w:basedOn w:val="Normal"/>
    <w:link w:val="FooterChar"/>
    <w:rsid w:val="00C01CCA"/>
    <w:pPr>
      <w:tabs>
        <w:tab w:val="center" w:pos="4680"/>
        <w:tab w:val="right" w:pos="9360"/>
      </w:tabs>
    </w:pPr>
  </w:style>
  <w:style w:type="character" w:customStyle="1" w:styleId="FooterChar">
    <w:name w:val="Footer Char"/>
    <w:basedOn w:val="DefaultParagraphFont"/>
    <w:link w:val="Footer"/>
    <w:rsid w:val="00C01CCA"/>
    <w:rPr>
      <w:sz w:val="24"/>
      <w:szCs w:val="24"/>
      <w:lang w:val="en-US" w:eastAsia="en-US"/>
    </w:rPr>
  </w:style>
  <w:style w:type="character" w:styleId="Hyperlink">
    <w:name w:val="Hyperlink"/>
    <w:basedOn w:val="DefaultParagraphFont"/>
    <w:rsid w:val="00CD7EDF"/>
    <w:rPr>
      <w:color w:val="0000FF"/>
      <w:u w:val="single"/>
    </w:rPr>
  </w:style>
</w:styles>
</file>

<file path=word/webSettings.xml><?xml version="1.0" encoding="utf-8"?>
<w:webSettings xmlns:r="http://schemas.openxmlformats.org/officeDocument/2006/relationships" xmlns:w="http://schemas.openxmlformats.org/wordprocessingml/2006/main">
  <w:divs>
    <w:div w:id="265623126">
      <w:bodyDiv w:val="1"/>
      <w:marLeft w:val="0"/>
      <w:marRight w:val="0"/>
      <w:marTop w:val="0"/>
      <w:marBottom w:val="0"/>
      <w:divBdr>
        <w:top w:val="none" w:sz="0" w:space="0" w:color="auto"/>
        <w:left w:val="none" w:sz="0" w:space="0" w:color="auto"/>
        <w:bottom w:val="none" w:sz="0" w:space="0" w:color="auto"/>
        <w:right w:val="none" w:sz="0" w:space="0" w:color="auto"/>
      </w:divBdr>
      <w:divsChild>
        <w:div w:id="1481772053">
          <w:marLeft w:val="0"/>
          <w:marRight w:val="0"/>
          <w:marTop w:val="0"/>
          <w:marBottom w:val="0"/>
          <w:divBdr>
            <w:top w:val="none" w:sz="0" w:space="0" w:color="auto"/>
            <w:left w:val="none" w:sz="0" w:space="0" w:color="auto"/>
            <w:bottom w:val="none" w:sz="0" w:space="0" w:color="auto"/>
            <w:right w:val="none" w:sz="0" w:space="0" w:color="auto"/>
          </w:divBdr>
          <w:divsChild>
            <w:div w:id="695232501">
              <w:marLeft w:val="0"/>
              <w:marRight w:val="0"/>
              <w:marTop w:val="0"/>
              <w:marBottom w:val="0"/>
              <w:divBdr>
                <w:top w:val="none" w:sz="0" w:space="0" w:color="auto"/>
                <w:left w:val="none" w:sz="0" w:space="0" w:color="auto"/>
                <w:bottom w:val="none" w:sz="0" w:space="0" w:color="auto"/>
                <w:right w:val="none" w:sz="0" w:space="0" w:color="auto"/>
              </w:divBdr>
              <w:divsChild>
                <w:div w:id="1270622799">
                  <w:marLeft w:val="0"/>
                  <w:marRight w:val="0"/>
                  <w:marTop w:val="0"/>
                  <w:marBottom w:val="0"/>
                  <w:divBdr>
                    <w:top w:val="none" w:sz="0" w:space="0" w:color="auto"/>
                    <w:left w:val="none" w:sz="0" w:space="0" w:color="auto"/>
                    <w:bottom w:val="none" w:sz="0" w:space="0" w:color="auto"/>
                    <w:right w:val="none" w:sz="0" w:space="0" w:color="auto"/>
                  </w:divBdr>
                  <w:divsChild>
                    <w:div w:id="85592675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09355">
      <w:bodyDiv w:val="1"/>
      <w:marLeft w:val="0"/>
      <w:marRight w:val="0"/>
      <w:marTop w:val="0"/>
      <w:marBottom w:val="0"/>
      <w:divBdr>
        <w:top w:val="none" w:sz="0" w:space="0" w:color="auto"/>
        <w:left w:val="none" w:sz="0" w:space="0" w:color="auto"/>
        <w:bottom w:val="none" w:sz="0" w:space="0" w:color="auto"/>
        <w:right w:val="none" w:sz="0" w:space="0" w:color="auto"/>
      </w:divBdr>
      <w:divsChild>
        <w:div w:id="778069797">
          <w:marLeft w:val="0"/>
          <w:marRight w:val="0"/>
          <w:marTop w:val="0"/>
          <w:marBottom w:val="0"/>
          <w:divBdr>
            <w:top w:val="none" w:sz="0" w:space="0" w:color="auto"/>
            <w:left w:val="none" w:sz="0" w:space="0" w:color="auto"/>
            <w:bottom w:val="none" w:sz="0" w:space="0" w:color="auto"/>
            <w:right w:val="none" w:sz="0" w:space="0" w:color="auto"/>
          </w:divBdr>
          <w:divsChild>
            <w:div w:id="1767991955">
              <w:marLeft w:val="0"/>
              <w:marRight w:val="0"/>
              <w:marTop w:val="0"/>
              <w:marBottom w:val="0"/>
              <w:divBdr>
                <w:top w:val="none" w:sz="0" w:space="0" w:color="auto"/>
                <w:left w:val="none" w:sz="0" w:space="0" w:color="auto"/>
                <w:bottom w:val="none" w:sz="0" w:space="0" w:color="auto"/>
                <w:right w:val="none" w:sz="0" w:space="0" w:color="auto"/>
              </w:divBdr>
              <w:divsChild>
                <w:div w:id="295919342">
                  <w:marLeft w:val="0"/>
                  <w:marRight w:val="0"/>
                  <w:marTop w:val="0"/>
                  <w:marBottom w:val="0"/>
                  <w:divBdr>
                    <w:top w:val="none" w:sz="0" w:space="0" w:color="auto"/>
                    <w:left w:val="none" w:sz="0" w:space="0" w:color="auto"/>
                    <w:bottom w:val="none" w:sz="0" w:space="0" w:color="auto"/>
                    <w:right w:val="none" w:sz="0" w:space="0" w:color="auto"/>
                  </w:divBdr>
                  <w:divsChild>
                    <w:div w:id="67738497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232">
      <w:bodyDiv w:val="1"/>
      <w:marLeft w:val="0"/>
      <w:marRight w:val="0"/>
      <w:marTop w:val="0"/>
      <w:marBottom w:val="0"/>
      <w:divBdr>
        <w:top w:val="none" w:sz="0" w:space="0" w:color="auto"/>
        <w:left w:val="none" w:sz="0" w:space="0" w:color="auto"/>
        <w:bottom w:val="none" w:sz="0" w:space="0" w:color="auto"/>
        <w:right w:val="none" w:sz="0" w:space="0" w:color="auto"/>
      </w:divBdr>
      <w:divsChild>
        <w:div w:id="200284076">
          <w:marLeft w:val="0"/>
          <w:marRight w:val="0"/>
          <w:marTop w:val="0"/>
          <w:marBottom w:val="0"/>
          <w:divBdr>
            <w:top w:val="none" w:sz="0" w:space="0" w:color="auto"/>
            <w:left w:val="none" w:sz="0" w:space="0" w:color="auto"/>
            <w:bottom w:val="none" w:sz="0" w:space="0" w:color="auto"/>
            <w:right w:val="none" w:sz="0" w:space="0" w:color="auto"/>
          </w:divBdr>
          <w:divsChild>
            <w:div w:id="2040278239">
              <w:marLeft w:val="0"/>
              <w:marRight w:val="0"/>
              <w:marTop w:val="0"/>
              <w:marBottom w:val="0"/>
              <w:divBdr>
                <w:top w:val="none" w:sz="0" w:space="0" w:color="auto"/>
                <w:left w:val="none" w:sz="0" w:space="0" w:color="auto"/>
                <w:bottom w:val="none" w:sz="0" w:space="0" w:color="auto"/>
                <w:right w:val="none" w:sz="0" w:space="0" w:color="auto"/>
              </w:divBdr>
              <w:divsChild>
                <w:div w:id="27609593">
                  <w:marLeft w:val="0"/>
                  <w:marRight w:val="0"/>
                  <w:marTop w:val="0"/>
                  <w:marBottom w:val="0"/>
                  <w:divBdr>
                    <w:top w:val="none" w:sz="0" w:space="0" w:color="auto"/>
                    <w:left w:val="none" w:sz="0" w:space="0" w:color="auto"/>
                    <w:bottom w:val="none" w:sz="0" w:space="0" w:color="auto"/>
                    <w:right w:val="none" w:sz="0" w:space="0" w:color="auto"/>
                  </w:divBdr>
                  <w:divsChild>
                    <w:div w:id="62134817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21222">
      <w:bodyDiv w:val="1"/>
      <w:marLeft w:val="0"/>
      <w:marRight w:val="0"/>
      <w:marTop w:val="0"/>
      <w:marBottom w:val="0"/>
      <w:divBdr>
        <w:top w:val="none" w:sz="0" w:space="0" w:color="auto"/>
        <w:left w:val="none" w:sz="0" w:space="0" w:color="auto"/>
        <w:bottom w:val="none" w:sz="0" w:space="0" w:color="auto"/>
        <w:right w:val="none" w:sz="0" w:space="0" w:color="auto"/>
      </w:divBdr>
      <w:divsChild>
        <w:div w:id="1183932204">
          <w:marLeft w:val="0"/>
          <w:marRight w:val="0"/>
          <w:marTop w:val="0"/>
          <w:marBottom w:val="0"/>
          <w:divBdr>
            <w:top w:val="none" w:sz="0" w:space="0" w:color="auto"/>
            <w:left w:val="none" w:sz="0" w:space="0" w:color="auto"/>
            <w:bottom w:val="none" w:sz="0" w:space="0" w:color="auto"/>
            <w:right w:val="none" w:sz="0" w:space="0" w:color="auto"/>
          </w:divBdr>
          <w:divsChild>
            <w:div w:id="2030450570">
              <w:marLeft w:val="0"/>
              <w:marRight w:val="0"/>
              <w:marTop w:val="0"/>
              <w:marBottom w:val="0"/>
              <w:divBdr>
                <w:top w:val="none" w:sz="0" w:space="0" w:color="auto"/>
                <w:left w:val="none" w:sz="0" w:space="0" w:color="auto"/>
                <w:bottom w:val="none" w:sz="0" w:space="0" w:color="auto"/>
                <w:right w:val="none" w:sz="0" w:space="0" w:color="auto"/>
              </w:divBdr>
              <w:divsChild>
                <w:div w:id="234896294">
                  <w:marLeft w:val="0"/>
                  <w:marRight w:val="0"/>
                  <w:marTop w:val="0"/>
                  <w:marBottom w:val="0"/>
                  <w:divBdr>
                    <w:top w:val="none" w:sz="0" w:space="0" w:color="auto"/>
                    <w:left w:val="none" w:sz="0" w:space="0" w:color="auto"/>
                    <w:bottom w:val="none" w:sz="0" w:space="0" w:color="auto"/>
                    <w:right w:val="none" w:sz="0" w:space="0" w:color="auto"/>
                  </w:divBdr>
                  <w:divsChild>
                    <w:div w:id="157916884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po-boa.gc.ca/praapp-prorev/2011-2012/spe-pso-fra.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1502</Words>
  <Characters>8567</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Assessment Framework</vt:lpstr>
      <vt:lpstr>Assessment Framework</vt:lpstr>
    </vt:vector>
  </TitlesOfParts>
  <Company>PWGSC/TPSGC</Company>
  <LinksUpToDate>false</LinksUpToDate>
  <CharactersWithSpaces>10049</CharactersWithSpaces>
  <SharedDoc>false</SharedDoc>
  <HLinks>
    <vt:vector size="6" baseType="variant">
      <vt:variant>
        <vt:i4>1900554</vt:i4>
      </vt:variant>
      <vt:variant>
        <vt:i4>0</vt:i4>
      </vt:variant>
      <vt:variant>
        <vt:i4>0</vt:i4>
      </vt:variant>
      <vt:variant>
        <vt:i4>5</vt:i4>
      </vt:variant>
      <vt:variant>
        <vt:lpwstr>http://opo-boa.gc.ca/praapp-prorev/2011-2012/spe-pso-fra.html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Framework</dc:title>
  <dc:creator>BattaglP</dc:creator>
  <cp:lastModifiedBy>BurgessC</cp:lastModifiedBy>
  <cp:revision>3</cp:revision>
  <cp:lastPrinted>2013-02-26T13:29:00Z</cp:lastPrinted>
  <dcterms:created xsi:type="dcterms:W3CDTF">2013-03-26T17:26:00Z</dcterms:created>
  <dcterms:modified xsi:type="dcterms:W3CDTF">2013-03-26T19:28:00Z</dcterms:modified>
</cp:coreProperties>
</file>